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5000" w:type="pct"/>
        <w:tblCellMar>
          <w:left w:w="107" w:type="dxa"/>
          <w:right w:w="107" w:type="dxa"/>
        </w:tblCellMar>
        <w:tblLook w:val="0000" w:firstRow="0" w:lastRow="0" w:firstColumn="0" w:lastColumn="0" w:noHBand="0" w:noVBand="0"/>
      </w:tblPr>
      <w:tblGrid>
        <w:gridCol w:w="1831"/>
        <w:gridCol w:w="6475"/>
      </w:tblGrid>
      <w:tr w:rsidR="002839CD" w:rsidTr="00B34C09">
        <w:tc>
          <w:tcPr>
            <w:tcW w:w="1102" w:type="pct"/>
          </w:tcPr>
          <w:p w:rsidR="002839CD" w:rsidRPr="00C27B54" w:rsidRDefault="002839CD" w:rsidP="00B34C09">
            <w:pPr>
              <w:pStyle w:val="a4"/>
              <w:jc w:val="left"/>
              <w:rPr>
                <w:rtl/>
              </w:rPr>
            </w:pPr>
            <w:bookmarkStart w:id="0" w:name="_GoBack"/>
            <w:bookmarkEnd w:id="0"/>
            <w:r>
              <w:rPr>
                <w:rFonts w:hint="cs"/>
                <w:rtl/>
              </w:rPr>
              <w:t>ה</w:t>
            </w:r>
            <w:r w:rsidRPr="00C27B54">
              <w:rPr>
                <w:rFonts w:hint="cs"/>
                <w:rtl/>
              </w:rPr>
              <w:t>מבקש</w:t>
            </w:r>
            <w:r>
              <w:rPr>
                <w:rFonts w:hint="cs"/>
                <w:rtl/>
              </w:rPr>
              <w:t>ת</w:t>
            </w:r>
          </w:p>
        </w:tc>
        <w:tc>
          <w:tcPr>
            <w:tcW w:w="3898" w:type="pct"/>
          </w:tcPr>
          <w:p w:rsidR="002839CD" w:rsidRDefault="002839CD" w:rsidP="00B34C09">
            <w:pPr>
              <w:pStyle w:val="a4"/>
              <w:rPr>
                <w:rtl/>
              </w:rPr>
            </w:pPr>
            <w:r>
              <w:rPr>
                <w:rFonts w:hint="cs"/>
                <w:rtl/>
              </w:rPr>
              <w:t>היועצת המשפטית לממשלה</w:t>
            </w:r>
          </w:p>
        </w:tc>
      </w:tr>
      <w:tr w:rsidR="002839CD" w:rsidRPr="008F3CBA" w:rsidTr="00B34C09">
        <w:tc>
          <w:tcPr>
            <w:tcW w:w="1102" w:type="pct"/>
          </w:tcPr>
          <w:p w:rsidR="002839CD" w:rsidRDefault="002839CD" w:rsidP="00B34C09">
            <w:pPr>
              <w:pStyle w:val="a4"/>
              <w:rPr>
                <w:rtl/>
              </w:rPr>
            </w:pPr>
          </w:p>
        </w:tc>
        <w:tc>
          <w:tcPr>
            <w:tcW w:w="3898" w:type="pct"/>
          </w:tcPr>
          <w:p w:rsidR="002839CD" w:rsidRDefault="002839CD" w:rsidP="00B34C09">
            <w:pPr>
              <w:pStyle w:val="a4"/>
              <w:jc w:val="left"/>
              <w:rPr>
                <w:sz w:val="24"/>
                <w:rtl/>
              </w:rPr>
            </w:pPr>
          </w:p>
          <w:p w:rsidR="002839CD" w:rsidRPr="00843334" w:rsidRDefault="002839CD" w:rsidP="00B34C09">
            <w:pPr>
              <w:pStyle w:val="a4"/>
              <w:jc w:val="left"/>
              <w:rPr>
                <w:sz w:val="24"/>
                <w:rtl/>
              </w:rPr>
            </w:pPr>
            <w:r w:rsidRPr="00843334">
              <w:rPr>
                <w:rFonts w:hint="cs"/>
                <w:sz w:val="24"/>
                <w:rtl/>
              </w:rPr>
              <w:t xml:space="preserve">          </w:t>
            </w:r>
            <w:r w:rsidRPr="00843334">
              <w:rPr>
                <w:sz w:val="24"/>
                <w:rtl/>
              </w:rPr>
              <w:t>נגד</w:t>
            </w:r>
          </w:p>
          <w:p w:rsidR="002839CD" w:rsidRPr="008F3CBA" w:rsidRDefault="002839CD" w:rsidP="00B34C09">
            <w:pPr>
              <w:pStyle w:val="a4"/>
              <w:jc w:val="left"/>
              <w:rPr>
                <w:sz w:val="28"/>
                <w:szCs w:val="28"/>
                <w:rtl/>
              </w:rPr>
            </w:pPr>
          </w:p>
        </w:tc>
      </w:tr>
      <w:tr w:rsidR="002839CD" w:rsidTr="00B34C09">
        <w:tc>
          <w:tcPr>
            <w:tcW w:w="1102" w:type="pct"/>
          </w:tcPr>
          <w:p w:rsidR="002839CD" w:rsidRPr="00C27B54" w:rsidRDefault="002839CD" w:rsidP="00B34C09">
            <w:pPr>
              <w:pStyle w:val="a4"/>
              <w:jc w:val="left"/>
              <w:rPr>
                <w:rtl/>
              </w:rPr>
            </w:pPr>
            <w:r>
              <w:rPr>
                <w:rFonts w:hint="cs"/>
                <w:rtl/>
              </w:rPr>
              <w:t>המשיבים</w:t>
            </w:r>
          </w:p>
        </w:tc>
        <w:tc>
          <w:tcPr>
            <w:tcW w:w="3898" w:type="pct"/>
          </w:tcPr>
          <w:p w:rsidR="002839CD" w:rsidRDefault="002839CD" w:rsidP="00B34C09">
            <w:pPr>
              <w:pStyle w:val="a4"/>
              <w:numPr>
                <w:ilvl w:val="0"/>
                <w:numId w:val="2"/>
              </w:numPr>
            </w:pPr>
            <w:r>
              <w:rPr>
                <w:rFonts w:hint="cs"/>
                <w:rtl/>
              </w:rPr>
              <w:t>פלונית</w:t>
            </w:r>
          </w:p>
          <w:p w:rsidR="002839CD" w:rsidRDefault="002839CD" w:rsidP="00B34C09">
            <w:pPr>
              <w:pStyle w:val="a4"/>
              <w:numPr>
                <w:ilvl w:val="0"/>
                <w:numId w:val="2"/>
              </w:numPr>
            </w:pPr>
            <w:r>
              <w:rPr>
                <w:rFonts w:hint="cs"/>
                <w:rtl/>
              </w:rPr>
              <w:t>אלמוני</w:t>
            </w:r>
          </w:p>
          <w:p w:rsidR="002839CD" w:rsidRDefault="002839CD" w:rsidP="00B34C09">
            <w:pPr>
              <w:pStyle w:val="a4"/>
              <w:ind w:left="720"/>
              <w:rPr>
                <w:b w:val="0"/>
                <w:bCs w:val="0"/>
                <w:sz w:val="20"/>
                <w:szCs w:val="22"/>
                <w:rtl/>
              </w:rPr>
            </w:pPr>
            <w:r>
              <w:rPr>
                <w:rFonts w:hint="cs"/>
                <w:b w:val="0"/>
                <w:bCs w:val="0"/>
                <w:sz w:val="20"/>
                <w:szCs w:val="22"/>
                <w:rtl/>
              </w:rPr>
              <w:t>ע"י ב"כ עו"ד ורדה ברכה שטיינברג ועו"ד יוסי נקר</w:t>
            </w:r>
          </w:p>
          <w:p w:rsidR="002839CD" w:rsidRPr="00FA5191" w:rsidRDefault="002839CD" w:rsidP="00B34C09">
            <w:pPr>
              <w:pStyle w:val="a4"/>
              <w:ind w:left="720"/>
              <w:rPr>
                <w:b w:val="0"/>
                <w:bCs w:val="0"/>
                <w:sz w:val="20"/>
                <w:szCs w:val="22"/>
                <w:rtl/>
              </w:rPr>
            </w:pPr>
          </w:p>
        </w:tc>
      </w:tr>
    </w:tbl>
    <w:p w:rsidR="002839CD" w:rsidRDefault="002839CD" w:rsidP="002839CD">
      <w:pPr>
        <w:spacing w:after="0" w:line="360" w:lineRule="auto"/>
        <w:rPr>
          <w:rFonts w:ascii="David" w:hAnsi="David" w:cs="David"/>
          <w:b/>
          <w:bCs/>
          <w:sz w:val="24"/>
          <w:szCs w:val="24"/>
          <w:rtl/>
        </w:rPr>
      </w:pPr>
      <w:r w:rsidRPr="004B3A47">
        <w:rPr>
          <w:rFonts w:ascii="David" w:hAnsi="David" w:cs="David" w:hint="cs"/>
          <w:b/>
          <w:bCs/>
          <w:sz w:val="24"/>
          <w:szCs w:val="24"/>
          <w:rtl/>
        </w:rPr>
        <w:t>בעניין:</w:t>
      </w:r>
      <w:r>
        <w:rPr>
          <w:rFonts w:ascii="David" w:hAnsi="David" w:cs="David" w:hint="cs"/>
          <w:b/>
          <w:bCs/>
          <w:sz w:val="24"/>
          <w:szCs w:val="24"/>
          <w:rtl/>
        </w:rPr>
        <w:t xml:space="preserve"> הקטינה</w:t>
      </w:r>
    </w:p>
    <w:p w:rsidR="002839CD" w:rsidRPr="004B3A47" w:rsidRDefault="002839CD" w:rsidP="002839CD">
      <w:pPr>
        <w:spacing w:after="0" w:line="360" w:lineRule="auto"/>
        <w:rPr>
          <w:rFonts w:ascii="David" w:hAnsi="David" w:cs="David"/>
          <w:b/>
          <w:bCs/>
          <w:sz w:val="24"/>
          <w:szCs w:val="24"/>
          <w:rtl/>
        </w:rPr>
      </w:pPr>
    </w:p>
    <w:p w:rsidR="002839CD" w:rsidRDefault="002839CD" w:rsidP="002839CD">
      <w:pPr>
        <w:spacing w:after="0" w:line="360" w:lineRule="auto"/>
        <w:jc w:val="center"/>
        <w:rPr>
          <w:rFonts w:ascii="David" w:hAnsi="David" w:cs="David"/>
          <w:b/>
          <w:bCs/>
          <w:sz w:val="28"/>
          <w:szCs w:val="28"/>
          <w:u w:val="single"/>
          <w:rtl/>
        </w:rPr>
      </w:pPr>
      <w:r>
        <w:rPr>
          <w:rFonts w:ascii="David" w:hAnsi="David" w:cs="David" w:hint="cs"/>
          <w:b/>
          <w:bCs/>
          <w:sz w:val="28"/>
          <w:szCs w:val="28"/>
          <w:u w:val="single"/>
          <w:rtl/>
        </w:rPr>
        <w:t>החלטה</w:t>
      </w:r>
    </w:p>
    <w:p w:rsidR="002839CD" w:rsidRDefault="002839CD" w:rsidP="002839CD">
      <w:pPr>
        <w:spacing w:after="0" w:line="360" w:lineRule="auto"/>
        <w:jc w:val="both"/>
        <w:rPr>
          <w:rFonts w:ascii="David" w:hAnsi="David" w:cs="David"/>
          <w:sz w:val="24"/>
          <w:szCs w:val="24"/>
          <w:rtl/>
        </w:rPr>
      </w:pPr>
    </w:p>
    <w:p w:rsidR="002839CD" w:rsidRDefault="002839CD" w:rsidP="002839CD">
      <w:pPr>
        <w:pStyle w:val="a3"/>
        <w:numPr>
          <w:ilvl w:val="0"/>
          <w:numId w:val="1"/>
        </w:numPr>
        <w:spacing w:after="0" w:line="360" w:lineRule="auto"/>
        <w:ind w:left="360"/>
        <w:jc w:val="both"/>
        <w:rPr>
          <w:rFonts w:ascii="David" w:hAnsi="David" w:cs="David"/>
          <w:sz w:val="24"/>
          <w:szCs w:val="24"/>
        </w:rPr>
      </w:pPr>
      <w:r>
        <w:rPr>
          <w:rFonts w:ascii="David" w:hAnsi="David" w:cs="David" w:hint="cs"/>
          <w:sz w:val="24"/>
          <w:szCs w:val="24"/>
          <w:rtl/>
        </w:rPr>
        <w:t>המדובר בבקשה שהוגשה ביום 4.2.24 בהתאם להוראת סעיף 12 (ג)(1) ל</w:t>
      </w:r>
      <w:r w:rsidRPr="00157A4C">
        <w:rPr>
          <w:rFonts w:ascii="David" w:hAnsi="David" w:cs="David" w:hint="cs"/>
          <w:b/>
          <w:bCs/>
          <w:sz w:val="24"/>
          <w:szCs w:val="24"/>
          <w:rtl/>
        </w:rPr>
        <w:t>חוק אימוץ ילדים</w:t>
      </w:r>
      <w:r>
        <w:rPr>
          <w:rFonts w:ascii="David" w:hAnsi="David" w:cs="David" w:hint="cs"/>
          <w:sz w:val="24"/>
          <w:szCs w:val="24"/>
          <w:rtl/>
        </w:rPr>
        <w:t xml:space="preserve">, התשמ"א-1981, בה התבקש בית המשפט לאשר את העברת הקטינה למשפחה אשר הביעה הסכמה לאמצה, אם וכאשר תוכרז בת אימוץ ביחס להוריה המשיבים. </w:t>
      </w:r>
    </w:p>
    <w:p w:rsidR="002839CD" w:rsidRDefault="002839CD" w:rsidP="002839CD">
      <w:pPr>
        <w:pStyle w:val="a3"/>
        <w:spacing w:after="0" w:line="360" w:lineRule="auto"/>
        <w:ind w:left="360"/>
        <w:jc w:val="both"/>
        <w:rPr>
          <w:rFonts w:ascii="David" w:hAnsi="David" w:cs="David"/>
          <w:sz w:val="24"/>
          <w:szCs w:val="24"/>
        </w:rPr>
      </w:pPr>
      <w:r>
        <w:rPr>
          <w:rFonts w:ascii="David" w:hAnsi="David" w:cs="David" w:hint="cs"/>
          <w:sz w:val="24"/>
          <w:szCs w:val="24"/>
          <w:rtl/>
        </w:rPr>
        <w:t>הקטינה שוהה כיום באומנת חירום, זאת על פי החלטת בית המשפט לנוער אשר דן בעניינה מאז לידתה ועד פתיחת הליך זה.</w:t>
      </w:r>
    </w:p>
    <w:p w:rsidR="002839CD" w:rsidRDefault="002839CD" w:rsidP="002839CD">
      <w:pPr>
        <w:pStyle w:val="a3"/>
        <w:spacing w:after="0" w:line="360" w:lineRule="auto"/>
        <w:ind w:left="360"/>
        <w:jc w:val="both"/>
        <w:rPr>
          <w:rFonts w:ascii="David" w:hAnsi="David" w:cs="David"/>
          <w:sz w:val="24"/>
          <w:szCs w:val="24"/>
        </w:rPr>
      </w:pPr>
      <w:r>
        <w:rPr>
          <w:rFonts w:ascii="David" w:hAnsi="David" w:cs="David" w:hint="cs"/>
          <w:sz w:val="24"/>
          <w:szCs w:val="24"/>
          <w:rtl/>
        </w:rPr>
        <w:t>הבקשה הוגשה בטרם הוגשה בקשה להכריז על הקטינה בת אימוץ, ובדיון שהתקיים ביום 15.2.24 התחייב ב"כ היועמ"ש להגישה בתוך 14 יום.</w:t>
      </w:r>
    </w:p>
    <w:p w:rsidR="002839CD" w:rsidRPr="004E501F" w:rsidRDefault="002839CD" w:rsidP="002839CD">
      <w:pPr>
        <w:pStyle w:val="a3"/>
        <w:spacing w:after="0" w:line="360" w:lineRule="auto"/>
        <w:ind w:left="0"/>
        <w:rPr>
          <w:rFonts w:ascii="David" w:hAnsi="David" w:cs="David"/>
          <w:sz w:val="24"/>
          <w:szCs w:val="24"/>
          <w:rtl/>
        </w:rPr>
      </w:pPr>
    </w:p>
    <w:p w:rsidR="002839CD" w:rsidRDefault="002839CD" w:rsidP="002839CD">
      <w:pPr>
        <w:pStyle w:val="a3"/>
        <w:numPr>
          <w:ilvl w:val="0"/>
          <w:numId w:val="1"/>
        </w:numPr>
        <w:spacing w:after="0" w:line="360" w:lineRule="auto"/>
        <w:ind w:left="360"/>
        <w:jc w:val="both"/>
        <w:rPr>
          <w:rFonts w:ascii="David" w:hAnsi="David" w:cs="David"/>
          <w:sz w:val="24"/>
          <w:szCs w:val="24"/>
        </w:rPr>
      </w:pPr>
      <w:r>
        <w:rPr>
          <w:rFonts w:ascii="David" w:hAnsi="David" w:cs="David" w:hint="cs"/>
          <w:sz w:val="24"/>
          <w:szCs w:val="24"/>
          <w:rtl/>
        </w:rPr>
        <w:t>ביום 15.2.24 התקיים דיון בבקשה. עובר לדיון הודיעה המשיבה 1 שהיא מתנגדת לבקשה ומתנגדת לניתוק הקשר בינה לבין הקטינה. בדיון הודיעו המשיבים על החלפת ייצוגם ובית המשפט נעתר לבקשתם לדחיית הדיון בבקשה. ביום 21.2.24 הגישו המשיבים תגובה מתוקנת נתמכת בתצהיריהם, וביום 22.2.24 התקיים דיון הוכחות בו נחקרה העו"ס ונחקרו המשיבים ונשמעו סיכומי הצדדים.</w:t>
      </w:r>
    </w:p>
    <w:p w:rsidR="002839CD" w:rsidRDefault="002839CD" w:rsidP="002839CD">
      <w:pPr>
        <w:pStyle w:val="a3"/>
        <w:spacing w:after="0" w:line="360" w:lineRule="auto"/>
        <w:ind w:left="360"/>
        <w:jc w:val="both"/>
        <w:rPr>
          <w:rFonts w:ascii="David" w:hAnsi="David" w:cs="David"/>
          <w:sz w:val="24"/>
          <w:szCs w:val="24"/>
        </w:rPr>
      </w:pPr>
    </w:p>
    <w:p w:rsidR="002839CD" w:rsidRDefault="002839CD" w:rsidP="002839CD">
      <w:pPr>
        <w:pStyle w:val="a3"/>
        <w:numPr>
          <w:ilvl w:val="0"/>
          <w:numId w:val="1"/>
        </w:numPr>
        <w:spacing w:after="0" w:line="360" w:lineRule="auto"/>
        <w:ind w:left="360"/>
        <w:jc w:val="both"/>
        <w:rPr>
          <w:rFonts w:ascii="David" w:hAnsi="David" w:cs="David"/>
          <w:sz w:val="24"/>
          <w:szCs w:val="24"/>
        </w:rPr>
      </w:pPr>
      <w:r>
        <w:rPr>
          <w:rFonts w:ascii="David" w:hAnsi="David" w:cs="David" w:hint="cs"/>
          <w:sz w:val="24"/>
          <w:szCs w:val="24"/>
          <w:rtl/>
        </w:rPr>
        <w:t>הרקע של כל אחד מהמשיבים וההשתלשלות העובדתית פורטו באריכות בבקשה. דומה שהמשיבים אינם חולקים על עיקרי הדברים, אותם אביא בקיצור להלן.</w:t>
      </w:r>
    </w:p>
    <w:p w:rsidR="002839CD" w:rsidRDefault="002839CD" w:rsidP="002839CD">
      <w:pPr>
        <w:pStyle w:val="a3"/>
        <w:spacing w:after="0" w:line="360" w:lineRule="auto"/>
        <w:ind w:left="0"/>
        <w:rPr>
          <w:rFonts w:ascii="David" w:hAnsi="David" w:cs="David"/>
          <w:sz w:val="24"/>
          <w:szCs w:val="24"/>
          <w:rtl/>
        </w:rPr>
      </w:pPr>
    </w:p>
    <w:p w:rsidR="002839CD" w:rsidRDefault="002839CD" w:rsidP="002839CD">
      <w:pPr>
        <w:pStyle w:val="a3"/>
        <w:spacing w:after="0" w:line="360" w:lineRule="auto"/>
        <w:ind w:left="0"/>
        <w:rPr>
          <w:rFonts w:ascii="David" w:hAnsi="David" w:cs="David"/>
          <w:sz w:val="24"/>
          <w:szCs w:val="24"/>
          <w:rtl/>
        </w:rPr>
      </w:pPr>
    </w:p>
    <w:p w:rsidR="002839CD" w:rsidRPr="00FA5191" w:rsidRDefault="002839CD" w:rsidP="002839CD">
      <w:pPr>
        <w:pStyle w:val="a3"/>
        <w:spacing w:after="0" w:line="360" w:lineRule="auto"/>
        <w:ind w:left="0"/>
        <w:rPr>
          <w:rFonts w:ascii="David" w:hAnsi="David" w:cs="David"/>
          <w:sz w:val="24"/>
          <w:szCs w:val="24"/>
          <w:rtl/>
        </w:rPr>
      </w:pPr>
    </w:p>
    <w:p w:rsidR="002839CD" w:rsidRDefault="002839CD" w:rsidP="002839CD">
      <w:pPr>
        <w:pStyle w:val="a3"/>
        <w:numPr>
          <w:ilvl w:val="0"/>
          <w:numId w:val="1"/>
        </w:numPr>
        <w:spacing w:after="0" w:line="360" w:lineRule="auto"/>
        <w:ind w:left="360"/>
        <w:jc w:val="both"/>
        <w:rPr>
          <w:rFonts w:ascii="David" w:hAnsi="David" w:cs="David"/>
          <w:sz w:val="24"/>
          <w:szCs w:val="24"/>
        </w:rPr>
      </w:pPr>
      <w:r>
        <w:rPr>
          <w:rFonts w:ascii="David" w:hAnsi="David" w:cs="David" w:hint="cs"/>
          <w:sz w:val="24"/>
          <w:szCs w:val="24"/>
          <w:rtl/>
        </w:rPr>
        <w:lastRenderedPageBreak/>
        <w:t>כנטען בבקשה המשיבה 1 (ולהלן ולשם הנוחות: "</w:t>
      </w:r>
      <w:r w:rsidRPr="004E501F">
        <w:rPr>
          <w:rFonts w:ascii="David" w:hAnsi="David" w:cs="David" w:hint="cs"/>
          <w:b/>
          <w:bCs/>
          <w:sz w:val="24"/>
          <w:szCs w:val="24"/>
          <w:rtl/>
        </w:rPr>
        <w:t>המשיבה</w:t>
      </w:r>
      <w:r>
        <w:rPr>
          <w:rFonts w:ascii="David" w:hAnsi="David" w:cs="David" w:hint="cs"/>
          <w:sz w:val="24"/>
          <w:szCs w:val="24"/>
          <w:rtl/>
        </w:rPr>
        <w:t xml:space="preserve">") מוכרת לשירותי בריאות הנפש בישוב </w:t>
      </w:r>
      <w:r>
        <w:rPr>
          <w:rFonts w:ascii="David" w:hAnsi="David" w:cs="David" w:hint="cs"/>
          <w:sz w:val="24"/>
          <w:szCs w:val="24"/>
        </w:rPr>
        <w:t>X</w:t>
      </w:r>
      <w:r>
        <w:rPr>
          <w:rFonts w:ascii="David" w:hAnsi="David" w:cs="David" w:hint="cs"/>
          <w:sz w:val="24"/>
          <w:szCs w:val="24"/>
          <w:rtl/>
        </w:rPr>
        <w:t xml:space="preserve"> שנים רבות על רקע היותה מתמודדת עם מחלת הסכיזופרניה ואינטליגנציה גבולית. בדיווח מיום 3.12.23 של הפסיכיאטרי</w:t>
      </w:r>
      <w:r>
        <w:rPr>
          <w:rFonts w:ascii="David" w:hAnsi="David" w:cs="David" w:hint="eastAsia"/>
          <w:sz w:val="24"/>
          <w:szCs w:val="24"/>
          <w:rtl/>
        </w:rPr>
        <w:t>ת</w:t>
      </w:r>
      <w:r>
        <w:rPr>
          <w:rFonts w:ascii="David" w:hAnsi="David" w:cs="David" w:hint="cs"/>
          <w:sz w:val="24"/>
          <w:szCs w:val="24"/>
          <w:rtl/>
        </w:rPr>
        <w:t xml:space="preserve"> המטפלת במשיבה פורט: "התמונה הקלינית בשנים האחרונות וגם לאחרונה, מבטאת בעיקר את הליקוי הנובע מהמחלה. היא לבושה באופן צעקני ולא מותאם, חשיבה דלה, קונקרטית וילדותית. האפקט לבילי ומשתנה במהירות בתגובה למצבים חולפים. היא בדרך כלל משתפת פעולה ויוצרת קשר. בדרך כלל אין עדות לתסמינים פסיכוטיים פעילים. השיפוט פגום בצורה ניכרת. בבדיקה מיום 11.10.23 לא התרשמתי מהחמרה במצבה הנפשי. היא התנהגה באופן לא מותאם ורגרסיבי (בדומה לבדיקות קודמות). מאוד ילדותית ומרוכזת בצרכים הבסיסיים ביותר של עצמה. הייתה תנודתיות במצב הרוח במהלך הפגישה (הגיעה נסערת מאוד בעקבות ריב עם בעלה ונרגעה בהמשך). חסרת שיפוט. ללא עדות לפסיכוזה פעילה. התפקוד היומיומי מוגבל בצורה ניכרת על רקע תמונה כרונית של סכיזופרניה (ולא ניתן לשלול גם רקע של מוגבלות קוגניטיבית בסיסית" (נספח 6). </w:t>
      </w:r>
    </w:p>
    <w:p w:rsidR="002839CD" w:rsidRDefault="002839CD" w:rsidP="00E57625">
      <w:pPr>
        <w:pStyle w:val="a3"/>
        <w:spacing w:after="0" w:line="360" w:lineRule="auto"/>
        <w:ind w:left="360"/>
        <w:jc w:val="both"/>
        <w:rPr>
          <w:rFonts w:ascii="David" w:hAnsi="David" w:cs="David"/>
          <w:sz w:val="24"/>
          <w:szCs w:val="24"/>
        </w:rPr>
      </w:pPr>
      <w:r>
        <w:rPr>
          <w:rFonts w:ascii="David" w:hAnsi="David" w:cs="David" w:hint="cs"/>
          <w:sz w:val="24"/>
          <w:szCs w:val="24"/>
          <w:rtl/>
        </w:rPr>
        <w:t xml:space="preserve">שני ילדיה של המשיבה מנישואיה הראשונים (ילידי שנת </w:t>
      </w:r>
      <w:r>
        <w:rPr>
          <w:rFonts w:ascii="David" w:hAnsi="David" w:cs="David" w:hint="cs"/>
          <w:sz w:val="24"/>
          <w:szCs w:val="24"/>
        </w:rPr>
        <w:t>XX</w:t>
      </w:r>
      <w:r>
        <w:rPr>
          <w:rFonts w:ascii="David" w:hAnsi="David" w:cs="David" w:hint="cs"/>
          <w:sz w:val="24"/>
          <w:szCs w:val="24"/>
          <w:rtl/>
        </w:rPr>
        <w:t xml:space="preserve"> ו- </w:t>
      </w:r>
      <w:r>
        <w:rPr>
          <w:rFonts w:ascii="David" w:hAnsi="David" w:cs="David" w:hint="cs"/>
          <w:sz w:val="24"/>
          <w:szCs w:val="24"/>
        </w:rPr>
        <w:t>XXX</w:t>
      </w:r>
      <w:r>
        <w:rPr>
          <w:rFonts w:ascii="David" w:hAnsi="David" w:cs="David" w:hint="cs"/>
          <w:sz w:val="24"/>
          <w:szCs w:val="24"/>
          <w:rtl/>
        </w:rPr>
        <w:t xml:space="preserve">) גדלים מאז ינקותם בבית הוריה </w:t>
      </w:r>
      <w:r w:rsidR="00E57625">
        <w:rPr>
          <w:rFonts w:ascii="David" w:hAnsi="David" w:cs="David" w:hint="cs"/>
          <w:sz w:val="24"/>
          <w:szCs w:val="24"/>
          <w:rtl/>
        </w:rPr>
        <w:t xml:space="preserve">בישוב </w:t>
      </w:r>
      <w:r w:rsidR="00E57625">
        <w:rPr>
          <w:rFonts w:ascii="David" w:hAnsi="David" w:cs="David" w:hint="cs"/>
          <w:sz w:val="24"/>
          <w:szCs w:val="24"/>
        </w:rPr>
        <w:t>X</w:t>
      </w:r>
      <w:r w:rsidR="00E57625">
        <w:rPr>
          <w:rFonts w:ascii="David" w:hAnsi="David" w:cs="David" w:hint="cs"/>
          <w:sz w:val="24"/>
          <w:szCs w:val="24"/>
          <w:rtl/>
        </w:rPr>
        <w:t xml:space="preserve"> </w:t>
      </w:r>
      <w:r>
        <w:rPr>
          <w:rFonts w:ascii="David" w:hAnsi="David" w:cs="David" w:hint="cs"/>
          <w:sz w:val="24"/>
          <w:szCs w:val="24"/>
          <w:rtl/>
        </w:rPr>
        <w:t xml:space="preserve"> במסגרת של אמנה טיפולית על רקע חוסר מסוגלותה לגדלם. משך השנים התגלו קשיים בהשמה זו והקשר של המשיבה עם ילדיה אינו תקין ואינם רצוף. משנת 2009 בקירוב ועד לשנת 2022 התגוררה המשיבה בהוסטל לנפגעי נפש.</w:t>
      </w:r>
    </w:p>
    <w:p w:rsidR="002839CD" w:rsidRPr="006C33F9" w:rsidRDefault="002839CD" w:rsidP="002839CD">
      <w:pPr>
        <w:pStyle w:val="a3"/>
        <w:spacing w:after="0" w:line="360" w:lineRule="auto"/>
        <w:ind w:left="0"/>
        <w:rPr>
          <w:rFonts w:ascii="David" w:hAnsi="David" w:cs="David"/>
          <w:sz w:val="24"/>
          <w:szCs w:val="24"/>
          <w:rtl/>
        </w:rPr>
      </w:pPr>
    </w:p>
    <w:p w:rsidR="002839CD" w:rsidRDefault="002839CD" w:rsidP="002839CD">
      <w:pPr>
        <w:pStyle w:val="a3"/>
        <w:numPr>
          <w:ilvl w:val="0"/>
          <w:numId w:val="1"/>
        </w:numPr>
        <w:spacing w:after="0" w:line="360" w:lineRule="auto"/>
        <w:ind w:left="360"/>
        <w:jc w:val="both"/>
        <w:rPr>
          <w:rFonts w:ascii="David" w:hAnsi="David" w:cs="David"/>
          <w:sz w:val="24"/>
          <w:szCs w:val="24"/>
        </w:rPr>
      </w:pPr>
      <w:r w:rsidRPr="002A1DD6">
        <w:rPr>
          <w:rFonts w:ascii="David" w:hAnsi="David" w:cs="David" w:hint="cs"/>
          <w:sz w:val="24"/>
          <w:szCs w:val="24"/>
          <w:rtl/>
        </w:rPr>
        <w:t>אשר למשיב 2 (ולהלן ולשם הנוחות: "</w:t>
      </w:r>
      <w:r w:rsidRPr="002A1DD6">
        <w:rPr>
          <w:rFonts w:ascii="David" w:hAnsi="David" w:cs="David" w:hint="cs"/>
          <w:b/>
          <w:bCs/>
          <w:sz w:val="24"/>
          <w:szCs w:val="24"/>
          <w:rtl/>
        </w:rPr>
        <w:t>המשיב</w:t>
      </w:r>
      <w:r w:rsidRPr="002A1DD6">
        <w:rPr>
          <w:rFonts w:ascii="David" w:hAnsi="David" w:cs="David" w:hint="cs"/>
          <w:sz w:val="24"/>
          <w:szCs w:val="24"/>
          <w:rtl/>
        </w:rPr>
        <w:t xml:space="preserve">") נטען שהוא מאובחן כמתמודד עם הפרעה סכיזואפקטיבית, התקפי חרדה לצד אירועים פסיכוטיים המלווים בקולות רדיפה, וכי התמודדותו הנפשית לוותה משך השנים באשפוזים רבים (מידי שנה בממוצע; סעיף 28 לבקשה). המשיב חולה גם במחלת האפילפסיה ומטופל תרופתית באופן כרוני ולו פוסט טראומה משירותו הצבאי. בסיכום אשפוז מיום 25.5.22 פורט "לאחר שירותו הצבאי ככל הנראה בעקבות פגיעה אורגנית חלה ירידה בתפקודו משפחתי, חברתי, תעסוקתי, לביליות אפקטיבית. מאוד תלותי. מתקשה לתפקד ללא תמיכה חיצונית. קושי רב להסתגל למצבי דחק </w:t>
      </w:r>
      <w:r w:rsidRPr="002A1DD6">
        <w:rPr>
          <w:rFonts w:ascii="David" w:hAnsi="David" w:cs="David"/>
          <w:sz w:val="24"/>
          <w:szCs w:val="24"/>
          <w:rtl/>
        </w:rPr>
        <w:t>–</w:t>
      </w:r>
      <w:r w:rsidRPr="002A1DD6">
        <w:rPr>
          <w:rFonts w:ascii="David" w:hAnsi="David" w:cs="David" w:hint="cs"/>
          <w:sz w:val="24"/>
          <w:szCs w:val="24"/>
          <w:rtl/>
        </w:rPr>
        <w:t xml:space="preserve"> אז נוטה לפתח מצבים עם סימני דיכאון, כאשר לרוב האפקט אינו יציב ומשתנה במהירות, ק</w:t>
      </w:r>
      <w:r>
        <w:rPr>
          <w:rFonts w:ascii="David" w:hAnsi="David" w:cs="David" w:hint="cs"/>
          <w:sz w:val="24"/>
          <w:szCs w:val="24"/>
          <w:rtl/>
        </w:rPr>
        <w:t>ו</w:t>
      </w:r>
      <w:r w:rsidRPr="002A1DD6">
        <w:rPr>
          <w:rFonts w:ascii="David" w:hAnsi="David" w:cs="David" w:hint="cs"/>
          <w:sz w:val="24"/>
          <w:szCs w:val="24"/>
          <w:rtl/>
        </w:rPr>
        <w:t xml:space="preserve">שי בפעילות שיש בה מטרה" (נספח 9). </w:t>
      </w:r>
    </w:p>
    <w:p w:rsidR="002839CD" w:rsidRDefault="002839CD" w:rsidP="002839CD">
      <w:pPr>
        <w:pStyle w:val="a3"/>
        <w:spacing w:after="0" w:line="360" w:lineRule="auto"/>
        <w:ind w:left="360"/>
        <w:jc w:val="both"/>
        <w:rPr>
          <w:rFonts w:ascii="David" w:hAnsi="David" w:cs="David"/>
          <w:sz w:val="24"/>
          <w:szCs w:val="24"/>
          <w:rtl/>
        </w:rPr>
      </w:pPr>
      <w:r w:rsidRPr="002A1DD6">
        <w:rPr>
          <w:rFonts w:ascii="David" w:hAnsi="David" w:cs="David" w:hint="cs"/>
          <w:sz w:val="24"/>
          <w:szCs w:val="24"/>
          <w:rtl/>
        </w:rPr>
        <w:t>המשיב התרגש מאוד מלידת הקטינה ובעקבות אירוע זה חלה התדרדרות במצבו הנפשי אשר התייצב אך לאחרונה (סעיפים 36-37 לבקשה). בדו"ח הפסיכוסוציאל</w:t>
      </w:r>
      <w:r w:rsidRPr="002A1DD6">
        <w:rPr>
          <w:rFonts w:ascii="David" w:hAnsi="David" w:cs="David" w:hint="eastAsia"/>
          <w:sz w:val="24"/>
          <w:szCs w:val="24"/>
          <w:rtl/>
        </w:rPr>
        <w:t>י</w:t>
      </w:r>
      <w:r w:rsidRPr="002A1DD6">
        <w:rPr>
          <w:rFonts w:ascii="David" w:hAnsi="David" w:cs="David" w:hint="cs"/>
          <w:sz w:val="24"/>
          <w:szCs w:val="24"/>
          <w:rtl/>
        </w:rPr>
        <w:t xml:space="preserve"> מיום 9.11.23 פורט "כיום המשיב נמצא במגמת התייצבות במצבו הנפשי, אך אין להסיק מכך שמצב זה יישמר לאורך זמן באופן עקבי" (נספח 11).</w:t>
      </w:r>
    </w:p>
    <w:p w:rsidR="002839CD" w:rsidRDefault="002839CD" w:rsidP="002839CD">
      <w:pPr>
        <w:pStyle w:val="a3"/>
        <w:spacing w:after="0" w:line="360" w:lineRule="auto"/>
        <w:ind w:left="360"/>
        <w:jc w:val="both"/>
        <w:rPr>
          <w:rFonts w:ascii="David" w:hAnsi="David" w:cs="David"/>
          <w:sz w:val="24"/>
          <w:szCs w:val="24"/>
        </w:rPr>
      </w:pPr>
      <w:r>
        <w:rPr>
          <w:rFonts w:ascii="David" w:hAnsi="David" w:cs="David" w:hint="cs"/>
          <w:sz w:val="24"/>
          <w:szCs w:val="24"/>
          <w:rtl/>
        </w:rPr>
        <w:lastRenderedPageBreak/>
        <w:t xml:space="preserve">עוד פורט בדו"ח שהמשיב הוכר כנכה צה"ל על בסיס תחלואה נפשית בשיעור של 51% כשמלאו לו 21 שנים, אך הוועדה הכירה בנכותו שנתיים קודם לכן (מעת שמלאו לו 19 שנים) לאור הסברה שהתחלואה הנפשית התפרצה במהלך שירותו הצבאי כחייל סדיר. </w:t>
      </w:r>
    </w:p>
    <w:p w:rsidR="002839CD" w:rsidRPr="004E501F" w:rsidRDefault="002839CD" w:rsidP="002839CD">
      <w:pPr>
        <w:pStyle w:val="a3"/>
        <w:spacing w:after="0" w:line="360" w:lineRule="auto"/>
        <w:ind w:left="0"/>
        <w:rPr>
          <w:rFonts w:ascii="David" w:hAnsi="David" w:cs="David"/>
          <w:sz w:val="24"/>
          <w:szCs w:val="24"/>
          <w:rtl/>
        </w:rPr>
      </w:pPr>
    </w:p>
    <w:p w:rsidR="002839CD" w:rsidRDefault="002839CD" w:rsidP="002839CD">
      <w:pPr>
        <w:pStyle w:val="a3"/>
        <w:numPr>
          <w:ilvl w:val="0"/>
          <w:numId w:val="1"/>
        </w:numPr>
        <w:spacing w:after="0" w:line="360" w:lineRule="auto"/>
        <w:ind w:left="360"/>
        <w:jc w:val="both"/>
        <w:rPr>
          <w:rFonts w:ascii="David" w:hAnsi="David" w:cs="David"/>
          <w:sz w:val="24"/>
          <w:szCs w:val="24"/>
        </w:rPr>
      </w:pPr>
      <w:r w:rsidRPr="002D1225">
        <w:rPr>
          <w:rFonts w:ascii="David" w:hAnsi="David" w:cs="David" w:hint="cs"/>
          <w:sz w:val="24"/>
          <w:szCs w:val="24"/>
          <w:rtl/>
        </w:rPr>
        <w:t>המשיבים נישאו זל"ז בראשית שנת 2022 ומאז הם מתגוררים יחד בדירת המשיב ב</w:t>
      </w:r>
      <w:r>
        <w:rPr>
          <w:rFonts w:ascii="David" w:hAnsi="David" w:cs="David" w:hint="cs"/>
          <w:sz w:val="24"/>
          <w:szCs w:val="24"/>
          <w:rtl/>
        </w:rPr>
        <w:t xml:space="preserve">עיר </w:t>
      </w:r>
      <w:r>
        <w:rPr>
          <w:rFonts w:ascii="David" w:hAnsi="David" w:cs="David" w:hint="cs"/>
          <w:sz w:val="24"/>
          <w:szCs w:val="24"/>
        </w:rPr>
        <w:t>Y</w:t>
      </w:r>
      <w:r w:rsidRPr="002D1225">
        <w:rPr>
          <w:rFonts w:ascii="David" w:hAnsi="David" w:cs="David" w:hint="cs"/>
          <w:sz w:val="24"/>
          <w:szCs w:val="24"/>
          <w:rtl/>
        </w:rPr>
        <w:t xml:space="preserve"> (דיו</w:t>
      </w:r>
      <w:r>
        <w:rPr>
          <w:rFonts w:ascii="David" w:hAnsi="David" w:cs="David" w:hint="cs"/>
          <w:sz w:val="24"/>
          <w:szCs w:val="24"/>
          <w:rtl/>
        </w:rPr>
        <w:t>ר</w:t>
      </w:r>
      <w:r w:rsidRPr="002D1225">
        <w:rPr>
          <w:rFonts w:ascii="David" w:hAnsi="David" w:cs="David" w:hint="cs"/>
          <w:sz w:val="24"/>
          <w:szCs w:val="24"/>
          <w:rtl/>
        </w:rPr>
        <w:t xml:space="preserve"> מוגן לו זכאי המשיב מטעם מחלקת השיקום של משרד הביטחון). המשיבה אינה עובדת ונמצאת במועדון תעסוקתי, ומתקיימת מקצבת נכות מאת המוסד לביטוח לאומי והיא זכאית לשירותי סל שיקום. אף המשיב אינו עובד ומתקיים מקצבת נכות מאת משרד הביטחון. </w:t>
      </w:r>
    </w:p>
    <w:p w:rsidR="002839CD" w:rsidRDefault="002839CD" w:rsidP="002839CD">
      <w:pPr>
        <w:pStyle w:val="a3"/>
        <w:spacing w:after="0" w:line="360" w:lineRule="auto"/>
        <w:ind w:left="360"/>
        <w:jc w:val="both"/>
        <w:rPr>
          <w:rFonts w:ascii="David" w:hAnsi="David" w:cs="David"/>
          <w:sz w:val="24"/>
          <w:szCs w:val="24"/>
        </w:rPr>
      </w:pPr>
    </w:p>
    <w:p w:rsidR="002839CD" w:rsidRDefault="002839CD" w:rsidP="002839CD">
      <w:pPr>
        <w:pStyle w:val="a3"/>
        <w:numPr>
          <w:ilvl w:val="0"/>
          <w:numId w:val="1"/>
        </w:numPr>
        <w:spacing w:after="0" w:line="360" w:lineRule="auto"/>
        <w:ind w:left="360"/>
        <w:jc w:val="both"/>
        <w:rPr>
          <w:rFonts w:ascii="David" w:hAnsi="David" w:cs="David"/>
          <w:sz w:val="24"/>
          <w:szCs w:val="24"/>
        </w:rPr>
      </w:pPr>
      <w:r w:rsidRPr="006634F8">
        <w:rPr>
          <w:rFonts w:ascii="David" w:hAnsi="David" w:cs="David" w:hint="cs"/>
          <w:sz w:val="24"/>
          <w:szCs w:val="24"/>
          <w:rtl/>
        </w:rPr>
        <w:t xml:space="preserve">הקטינה נולדה למשיבים בבית החולים הדסה עין כרם </w:t>
      </w:r>
      <w:r>
        <w:rPr>
          <w:rFonts w:ascii="David" w:hAnsi="David" w:cs="David" w:hint="cs"/>
          <w:sz w:val="24"/>
          <w:szCs w:val="24"/>
          <w:rtl/>
        </w:rPr>
        <w:t>ביום 1.23.</w:t>
      </w:r>
      <w:r>
        <w:rPr>
          <w:rFonts w:ascii="David" w:hAnsi="David" w:cs="David" w:hint="cs"/>
          <w:sz w:val="24"/>
          <w:szCs w:val="24"/>
        </w:rPr>
        <w:t>Z</w:t>
      </w:r>
      <w:r w:rsidRPr="006634F8">
        <w:rPr>
          <w:rFonts w:ascii="David" w:hAnsi="David" w:cs="David" w:hint="cs"/>
          <w:sz w:val="24"/>
          <w:szCs w:val="24"/>
          <w:rtl/>
        </w:rPr>
        <w:t xml:space="preserve"> ולבקשתם עברה למחלקה של ביות מלא. מיד בסמוך לאחר הלידה התקבל דיווח של הצוות הסיעודי במחלקה שהמשיבה אינה מטפלת בקטינה כלל, לא ניגשת אליה, לא מחתלת אותה, לא מתעוררת בלילה לטפל בה, אינה מדברת לעניין ומתנהגת באופן לא מותאם. כן התקבל דיווח שגם המשיב לא ניגש לטפל בקטינה ולא יוזם כל מגע עמה וכי החדר מוזנח ולא נקי. אמה של המשיבה ואחות של המשיבה הגיעו למחלקה לטפל בקטינה אך דווח שהתגלעו חיכוכים ביניהן לבין המשיבה בעקבותיהם עזבה האחות כעבור יומיים והעזרה מצדה הופסקה. פורט שאמה של המשיבה "רוצה לקבל אפוטרופסות על התינוקת ולטפל בה, לא חושבת שהמשיבה יכולה לטפל בתינוקת" (דו"ח עו"ס ביה"ח מיום 4.1.23 צורף כנספח 14 לבקשה). </w:t>
      </w:r>
    </w:p>
    <w:p w:rsidR="002839CD" w:rsidRPr="006634F8" w:rsidRDefault="002839CD" w:rsidP="002839CD">
      <w:pPr>
        <w:pStyle w:val="a3"/>
        <w:spacing w:after="0" w:line="360" w:lineRule="auto"/>
        <w:ind w:left="360"/>
        <w:jc w:val="both"/>
        <w:rPr>
          <w:rFonts w:ascii="David" w:hAnsi="David" w:cs="David"/>
          <w:sz w:val="24"/>
          <w:szCs w:val="24"/>
        </w:rPr>
      </w:pPr>
      <w:r w:rsidRPr="006634F8">
        <w:rPr>
          <w:rFonts w:ascii="David" w:hAnsi="David" w:cs="David" w:hint="cs"/>
          <w:sz w:val="24"/>
          <w:szCs w:val="24"/>
          <w:rtl/>
        </w:rPr>
        <w:t>המשיבה לא שיתפה פעולה עם בדיקה פסיכיאטרי</w:t>
      </w:r>
      <w:r w:rsidRPr="006634F8">
        <w:rPr>
          <w:rFonts w:ascii="David" w:hAnsi="David" w:cs="David" w:hint="eastAsia"/>
          <w:sz w:val="24"/>
          <w:szCs w:val="24"/>
          <w:rtl/>
        </w:rPr>
        <w:t>ת</w:t>
      </w:r>
      <w:r w:rsidRPr="006634F8">
        <w:rPr>
          <w:rFonts w:ascii="David" w:hAnsi="David" w:cs="David" w:hint="cs"/>
          <w:sz w:val="24"/>
          <w:szCs w:val="24"/>
          <w:rtl/>
        </w:rPr>
        <w:t xml:space="preserve"> שהעלתה ספק סביב יכולתה לטפל בקטינה ובסופה הומלץ שלא להותיר את הקטינה עמה לבד בלי נוכחות של אדם מבוגר נוסף (סיכום ייעוץ פסיכיאטרי מיום 4.1.23 צורף כנספח 13 לבקשה). </w:t>
      </w:r>
    </w:p>
    <w:p w:rsidR="002839CD" w:rsidRDefault="002839CD" w:rsidP="002839CD">
      <w:pPr>
        <w:pStyle w:val="a3"/>
        <w:spacing w:after="0" w:line="360" w:lineRule="auto"/>
        <w:ind w:left="360"/>
        <w:jc w:val="both"/>
        <w:rPr>
          <w:rFonts w:ascii="David" w:hAnsi="David" w:cs="David"/>
          <w:sz w:val="24"/>
          <w:szCs w:val="24"/>
        </w:rPr>
      </w:pPr>
      <w:r w:rsidRPr="00806FF9">
        <w:rPr>
          <w:rFonts w:ascii="David" w:hAnsi="David" w:cs="David" w:hint="cs"/>
          <w:sz w:val="24"/>
          <w:szCs w:val="24"/>
          <w:rtl/>
        </w:rPr>
        <w:t>בעקבות כך נקטה עו"ס חוק הנוער ביום 4.1.23 ב</w:t>
      </w:r>
      <w:r>
        <w:rPr>
          <w:rFonts w:ascii="David" w:hAnsi="David" w:cs="David" w:hint="cs"/>
          <w:sz w:val="24"/>
          <w:szCs w:val="24"/>
          <w:rtl/>
        </w:rPr>
        <w:t>צו</w:t>
      </w:r>
      <w:r w:rsidRPr="00806FF9">
        <w:rPr>
          <w:rFonts w:ascii="David" w:hAnsi="David" w:cs="David" w:hint="cs"/>
          <w:sz w:val="24"/>
          <w:szCs w:val="24"/>
          <w:rtl/>
        </w:rPr>
        <w:t xml:space="preserve"> חירום </w:t>
      </w:r>
      <w:r>
        <w:rPr>
          <w:rFonts w:ascii="David" w:hAnsi="David" w:cs="David" w:hint="cs"/>
          <w:sz w:val="24"/>
          <w:szCs w:val="24"/>
          <w:rtl/>
        </w:rPr>
        <w:t xml:space="preserve">להשארת </w:t>
      </w:r>
      <w:r w:rsidRPr="00806FF9">
        <w:rPr>
          <w:rFonts w:ascii="David" w:hAnsi="David" w:cs="David" w:hint="cs"/>
          <w:sz w:val="24"/>
          <w:szCs w:val="24"/>
          <w:rtl/>
        </w:rPr>
        <w:t>הקטינה בבית החולים ו</w:t>
      </w:r>
      <w:r>
        <w:rPr>
          <w:rFonts w:ascii="David" w:hAnsi="David" w:cs="David" w:hint="cs"/>
          <w:sz w:val="24"/>
          <w:szCs w:val="24"/>
          <w:rtl/>
        </w:rPr>
        <w:t>ש</w:t>
      </w:r>
      <w:r w:rsidRPr="00806FF9">
        <w:rPr>
          <w:rFonts w:ascii="David" w:hAnsi="David" w:cs="David" w:hint="cs"/>
          <w:sz w:val="24"/>
          <w:szCs w:val="24"/>
          <w:rtl/>
        </w:rPr>
        <w:t xml:space="preserve">ביקורים יעשו בהשגחת איש צוות. </w:t>
      </w:r>
      <w:r>
        <w:rPr>
          <w:rFonts w:ascii="David" w:hAnsi="David" w:cs="David" w:hint="cs"/>
          <w:sz w:val="24"/>
          <w:szCs w:val="24"/>
          <w:rtl/>
        </w:rPr>
        <w:t>ביום 5.1.23 נערכה למשיבה בדיקה פסיכיאטרית נוספת שמצאה "קיים ספק משמעותי אם מסוגלת לטפל בתינוקת" (נספח 16).</w:t>
      </w:r>
    </w:p>
    <w:p w:rsidR="002839CD" w:rsidRPr="00A4789A" w:rsidRDefault="002839CD" w:rsidP="002839CD">
      <w:pPr>
        <w:pStyle w:val="a3"/>
        <w:spacing w:after="0" w:line="360" w:lineRule="auto"/>
        <w:ind w:left="0"/>
        <w:rPr>
          <w:rFonts w:ascii="David" w:hAnsi="David" w:cs="David"/>
          <w:sz w:val="24"/>
          <w:szCs w:val="24"/>
          <w:rtl/>
        </w:rPr>
      </w:pPr>
    </w:p>
    <w:p w:rsidR="002839CD" w:rsidRDefault="002839CD" w:rsidP="002839CD">
      <w:pPr>
        <w:pStyle w:val="a3"/>
        <w:numPr>
          <w:ilvl w:val="0"/>
          <w:numId w:val="1"/>
        </w:numPr>
        <w:spacing w:after="0" w:line="360" w:lineRule="auto"/>
        <w:ind w:left="360"/>
        <w:jc w:val="both"/>
        <w:rPr>
          <w:rFonts w:ascii="David" w:hAnsi="David" w:cs="David"/>
          <w:sz w:val="24"/>
          <w:szCs w:val="24"/>
        </w:rPr>
      </w:pPr>
      <w:r w:rsidRPr="00806FF9">
        <w:rPr>
          <w:rFonts w:ascii="David" w:hAnsi="David" w:cs="David" w:hint="cs"/>
          <w:sz w:val="24"/>
          <w:szCs w:val="24"/>
          <w:rtl/>
        </w:rPr>
        <w:t>ביום 8.1.23 התקיימה בבית החולים וועדת תכנון טיפול בעניינה</w:t>
      </w:r>
      <w:r>
        <w:rPr>
          <w:rFonts w:ascii="David" w:hAnsi="David" w:cs="David" w:hint="cs"/>
          <w:sz w:val="24"/>
          <w:szCs w:val="24"/>
          <w:rtl/>
        </w:rPr>
        <w:t xml:space="preserve"> של הקטינה</w:t>
      </w:r>
      <w:r w:rsidRPr="00806FF9">
        <w:rPr>
          <w:rFonts w:ascii="David" w:hAnsi="David" w:cs="David" w:hint="cs"/>
          <w:sz w:val="24"/>
          <w:szCs w:val="24"/>
          <w:rtl/>
        </w:rPr>
        <w:t xml:space="preserve"> </w:t>
      </w:r>
      <w:r>
        <w:rPr>
          <w:rFonts w:ascii="David" w:hAnsi="David" w:cs="David" w:hint="cs"/>
          <w:sz w:val="24"/>
          <w:szCs w:val="24"/>
          <w:rtl/>
        </w:rPr>
        <w:t xml:space="preserve">במתכונת חירום </w:t>
      </w:r>
      <w:r w:rsidRPr="00806FF9">
        <w:rPr>
          <w:rFonts w:ascii="David" w:hAnsi="David" w:cs="David" w:hint="cs"/>
          <w:sz w:val="24"/>
          <w:szCs w:val="24"/>
          <w:rtl/>
        </w:rPr>
        <w:t>ובה הומלץ על העברתה לאמנת חירום</w:t>
      </w:r>
      <w:r>
        <w:rPr>
          <w:rFonts w:ascii="David" w:hAnsi="David" w:cs="David" w:hint="cs"/>
          <w:sz w:val="24"/>
          <w:szCs w:val="24"/>
          <w:rtl/>
        </w:rPr>
        <w:t xml:space="preserve"> למשך 3 חודשים במהלכם גורמי הטיפול בעיר </w:t>
      </w:r>
      <w:r>
        <w:rPr>
          <w:rFonts w:ascii="David" w:hAnsi="David" w:cs="David" w:hint="cs"/>
          <w:sz w:val="24"/>
          <w:szCs w:val="24"/>
        </w:rPr>
        <w:t>Y</w:t>
      </w:r>
      <w:r>
        <w:rPr>
          <w:rFonts w:ascii="David" w:hAnsi="David" w:cs="David" w:hint="cs"/>
          <w:sz w:val="24"/>
          <w:szCs w:val="24"/>
          <w:rtl/>
        </w:rPr>
        <w:t xml:space="preserve"> יעמיקו את ההיכרות עם המשיבים וייבחנו חלופות אפשריות</w:t>
      </w:r>
      <w:r w:rsidRPr="00806FF9">
        <w:rPr>
          <w:rFonts w:ascii="David" w:hAnsi="David" w:cs="David" w:hint="cs"/>
          <w:sz w:val="24"/>
          <w:szCs w:val="24"/>
          <w:rtl/>
        </w:rPr>
        <w:t xml:space="preserve">. </w:t>
      </w:r>
      <w:r>
        <w:rPr>
          <w:rFonts w:ascii="David" w:hAnsi="David" w:cs="David" w:hint="cs"/>
          <w:sz w:val="24"/>
          <w:szCs w:val="24"/>
          <w:rtl/>
        </w:rPr>
        <w:t xml:space="preserve">עם זאת, </w:t>
      </w:r>
      <w:r w:rsidRPr="00806FF9">
        <w:rPr>
          <w:rFonts w:ascii="David" w:hAnsi="David" w:cs="David" w:hint="cs"/>
          <w:sz w:val="24"/>
          <w:szCs w:val="24"/>
          <w:rtl/>
        </w:rPr>
        <w:t xml:space="preserve">הקטינה נותרה באשפוז </w:t>
      </w:r>
      <w:r>
        <w:rPr>
          <w:rFonts w:ascii="David" w:hAnsi="David" w:cs="David" w:hint="cs"/>
          <w:sz w:val="24"/>
          <w:szCs w:val="24"/>
          <w:rtl/>
        </w:rPr>
        <w:t xml:space="preserve">סוציאלי </w:t>
      </w:r>
      <w:r w:rsidRPr="00806FF9">
        <w:rPr>
          <w:rFonts w:ascii="David" w:hAnsi="David" w:cs="David" w:hint="cs"/>
          <w:sz w:val="24"/>
          <w:szCs w:val="24"/>
          <w:rtl/>
        </w:rPr>
        <w:t xml:space="preserve">בבית החולים משך חודש ימים בקירוב. בעקבות בדיקת האפשרות </w:t>
      </w:r>
      <w:r w:rsidRPr="00806FF9">
        <w:rPr>
          <w:rFonts w:ascii="David" w:hAnsi="David" w:cs="David"/>
          <w:sz w:val="24"/>
          <w:szCs w:val="24"/>
          <w:rtl/>
        </w:rPr>
        <w:t>–</w:t>
      </w:r>
      <w:r w:rsidRPr="00806FF9">
        <w:rPr>
          <w:rFonts w:ascii="David" w:hAnsi="David" w:cs="David" w:hint="cs"/>
          <w:sz w:val="24"/>
          <w:szCs w:val="24"/>
          <w:rtl/>
        </w:rPr>
        <w:t xml:space="preserve"> ושלילתה </w:t>
      </w:r>
      <w:r w:rsidRPr="00806FF9">
        <w:rPr>
          <w:rFonts w:ascii="David" w:hAnsi="David" w:cs="David"/>
          <w:sz w:val="24"/>
          <w:szCs w:val="24"/>
          <w:rtl/>
        </w:rPr>
        <w:t>–</w:t>
      </w:r>
      <w:r w:rsidRPr="00806FF9">
        <w:rPr>
          <w:rFonts w:ascii="David" w:hAnsi="David" w:cs="David" w:hint="cs"/>
          <w:sz w:val="24"/>
          <w:szCs w:val="24"/>
          <w:rtl/>
        </w:rPr>
        <w:t xml:space="preserve"> של השמת הקטינה בקלט קרובים בידי אחות המשיבה רק ביום 2.2.23 הורה בית המשפט לנוער על הוצאת הקטינה ממשמורת המשיבים ואישר את השמתה באמנת חירום (נספח 26 לבקשה). </w:t>
      </w:r>
    </w:p>
    <w:p w:rsidR="002839CD" w:rsidRDefault="002839CD" w:rsidP="002839CD">
      <w:pPr>
        <w:pStyle w:val="a3"/>
        <w:numPr>
          <w:ilvl w:val="0"/>
          <w:numId w:val="1"/>
        </w:numPr>
        <w:spacing w:after="0" w:line="360" w:lineRule="auto"/>
        <w:ind w:left="360"/>
        <w:jc w:val="both"/>
        <w:rPr>
          <w:rFonts w:ascii="David" w:hAnsi="David" w:cs="David"/>
          <w:sz w:val="24"/>
          <w:szCs w:val="24"/>
        </w:rPr>
      </w:pPr>
      <w:r>
        <w:rPr>
          <w:rFonts w:ascii="David" w:hAnsi="David" w:cs="David" w:hint="cs"/>
          <w:sz w:val="24"/>
          <w:szCs w:val="24"/>
          <w:rtl/>
        </w:rPr>
        <w:lastRenderedPageBreak/>
        <w:t>ביום 28.3.23 התקיימה וועדת תכנון טיפול שנייה בה נדונה בין היתר הבקשה שאחיינית של המשיב (</w:t>
      </w:r>
      <w:r>
        <w:rPr>
          <w:rFonts w:ascii="David" w:hAnsi="David" w:cs="David" w:hint="cs"/>
          <w:sz w:val="24"/>
          <w:szCs w:val="24"/>
        </w:rPr>
        <w:t>XX</w:t>
      </w:r>
      <w:r>
        <w:rPr>
          <w:rFonts w:ascii="David" w:hAnsi="David" w:cs="David" w:hint="cs"/>
          <w:sz w:val="24"/>
          <w:szCs w:val="24"/>
          <w:rtl/>
        </w:rPr>
        <w:t>) תשמש כאומנת קרובים (נספח 31). הגם שהמשיבים הסכימו ש</w:t>
      </w:r>
      <w:r>
        <w:rPr>
          <w:rFonts w:ascii="David" w:hAnsi="David" w:cs="David" w:hint="cs"/>
          <w:sz w:val="24"/>
          <w:szCs w:val="24"/>
        </w:rPr>
        <w:t>XX</w:t>
      </w:r>
      <w:r>
        <w:rPr>
          <w:rFonts w:ascii="David" w:hAnsi="David" w:cs="David" w:hint="cs"/>
          <w:sz w:val="24"/>
          <w:szCs w:val="24"/>
          <w:rtl/>
        </w:rPr>
        <w:t xml:space="preserve"> האחיינית של המשיב תשמש כאומנת קרובים, הם חזרו בהם מהסכמתם וביקשו שוב את השמת הקטינה באמנה בבית אמה של המשיבה, וביום 3.8.23 הורה בית המשפט לנוער על השמת הקטינה באומנה בבית האחיינית של המשיב ובעלה. בהחלטה מיום 3.9.23 הכיר בית המשפט לנוער בקטינה כקטינה נזקקת תחת צו הוצאה ממשמורת והורה על השמתה באומנת הקרובים עד ליום 30.6.24. </w:t>
      </w:r>
    </w:p>
    <w:p w:rsidR="002839CD" w:rsidRPr="00CF5085" w:rsidRDefault="002839CD" w:rsidP="002839CD">
      <w:pPr>
        <w:pStyle w:val="a3"/>
        <w:spacing w:after="0" w:line="360" w:lineRule="auto"/>
        <w:ind w:left="0"/>
        <w:rPr>
          <w:rFonts w:ascii="David" w:hAnsi="David" w:cs="David"/>
          <w:sz w:val="24"/>
          <w:szCs w:val="24"/>
          <w:rtl/>
        </w:rPr>
      </w:pPr>
    </w:p>
    <w:p w:rsidR="002839CD" w:rsidRDefault="002839CD" w:rsidP="002839CD">
      <w:pPr>
        <w:pStyle w:val="a3"/>
        <w:numPr>
          <w:ilvl w:val="0"/>
          <w:numId w:val="1"/>
        </w:numPr>
        <w:spacing w:after="0" w:line="360" w:lineRule="auto"/>
        <w:ind w:left="360"/>
        <w:jc w:val="both"/>
        <w:rPr>
          <w:rFonts w:ascii="David" w:hAnsi="David" w:cs="David"/>
          <w:sz w:val="24"/>
          <w:szCs w:val="24"/>
        </w:rPr>
      </w:pPr>
      <w:r w:rsidRPr="00CF5085">
        <w:rPr>
          <w:rFonts w:ascii="David" w:hAnsi="David" w:cs="David" w:hint="cs"/>
          <w:sz w:val="24"/>
          <w:szCs w:val="24"/>
          <w:rtl/>
        </w:rPr>
        <w:t xml:space="preserve">כחודש לאחר השמתה באמנת הקרובים התגלו קשיים אצל ההורים האומנים לטפל בקטינה ולדאוג לצרכיה ודרשו את הפסקת האומנה. בטרם נמצאה משפחה חלופית נדרשה עו"ס חוק הנוער לנקוט </w:t>
      </w:r>
      <w:r>
        <w:rPr>
          <w:rFonts w:ascii="David" w:hAnsi="David" w:cs="David" w:hint="cs"/>
          <w:sz w:val="24"/>
          <w:szCs w:val="24"/>
          <w:rtl/>
        </w:rPr>
        <w:t xml:space="preserve">ביום 9.11.23 </w:t>
      </w:r>
      <w:r w:rsidRPr="00CF5085">
        <w:rPr>
          <w:rFonts w:ascii="David" w:hAnsi="David" w:cs="David" w:hint="cs"/>
          <w:sz w:val="24"/>
          <w:szCs w:val="24"/>
          <w:rtl/>
        </w:rPr>
        <w:t>בצו חירום להוצאתה המידית של הקט</w:t>
      </w:r>
      <w:r>
        <w:rPr>
          <w:rFonts w:ascii="David" w:hAnsi="David" w:cs="David" w:hint="cs"/>
          <w:sz w:val="24"/>
          <w:szCs w:val="24"/>
          <w:rtl/>
        </w:rPr>
        <w:t>ינה מאומנת הקרובים לבקשתם ולאחר שהתפרצו "באופן בוטה, אלים וחסר מעצורים" כלפי העו"ס וכללו התבטאויות קשות כלפי הקטינה ובנוכחותה. בהחלטה מיום 13.11.23 אישר בית המשפט את שינוי מקום השמתה (נספח 38).</w:t>
      </w:r>
    </w:p>
    <w:p w:rsidR="002839CD" w:rsidRPr="00CF5085" w:rsidRDefault="002839CD" w:rsidP="002839CD">
      <w:pPr>
        <w:pStyle w:val="a3"/>
        <w:spacing w:after="0" w:line="360" w:lineRule="auto"/>
        <w:ind w:left="0"/>
        <w:rPr>
          <w:rFonts w:ascii="David" w:hAnsi="David" w:cs="David"/>
          <w:sz w:val="24"/>
          <w:szCs w:val="24"/>
          <w:rtl/>
        </w:rPr>
      </w:pPr>
    </w:p>
    <w:p w:rsidR="002839CD" w:rsidRDefault="002839CD" w:rsidP="002839CD">
      <w:pPr>
        <w:pStyle w:val="a3"/>
        <w:numPr>
          <w:ilvl w:val="0"/>
          <w:numId w:val="1"/>
        </w:numPr>
        <w:spacing w:after="0" w:line="360" w:lineRule="auto"/>
        <w:ind w:left="360"/>
        <w:jc w:val="both"/>
        <w:rPr>
          <w:rFonts w:ascii="David" w:hAnsi="David" w:cs="David"/>
          <w:sz w:val="24"/>
          <w:szCs w:val="24"/>
        </w:rPr>
      </w:pPr>
      <w:r>
        <w:rPr>
          <w:rFonts w:ascii="David" w:hAnsi="David" w:cs="David" w:hint="cs"/>
          <w:sz w:val="24"/>
          <w:szCs w:val="24"/>
          <w:rtl/>
        </w:rPr>
        <w:t>מאבחון שנערך לקטינה ביום 4.12.23 עלה עיכוב התפתחותי, של ארבעה חודשים בקירוב, בתחום המוטוריקה הגסה.</w:t>
      </w:r>
    </w:p>
    <w:p w:rsidR="002839CD" w:rsidRPr="00FA5191" w:rsidRDefault="002839CD" w:rsidP="002839CD">
      <w:pPr>
        <w:pStyle w:val="a3"/>
        <w:spacing w:after="0" w:line="360" w:lineRule="auto"/>
        <w:ind w:left="0"/>
        <w:rPr>
          <w:rFonts w:ascii="David" w:hAnsi="David" w:cs="David"/>
          <w:sz w:val="24"/>
          <w:szCs w:val="24"/>
          <w:rtl/>
        </w:rPr>
      </w:pPr>
    </w:p>
    <w:p w:rsidR="002839CD" w:rsidRDefault="002839CD" w:rsidP="002839CD">
      <w:pPr>
        <w:pStyle w:val="a3"/>
        <w:numPr>
          <w:ilvl w:val="0"/>
          <w:numId w:val="1"/>
        </w:numPr>
        <w:spacing w:after="0" w:line="360" w:lineRule="auto"/>
        <w:ind w:left="360"/>
        <w:jc w:val="both"/>
        <w:rPr>
          <w:rFonts w:ascii="David" w:hAnsi="David" w:cs="David"/>
          <w:sz w:val="24"/>
          <w:szCs w:val="24"/>
        </w:rPr>
      </w:pPr>
      <w:r>
        <w:rPr>
          <w:rFonts w:ascii="David" w:hAnsi="David" w:cs="David" w:hint="cs"/>
          <w:sz w:val="24"/>
          <w:szCs w:val="24"/>
          <w:rtl/>
        </w:rPr>
        <w:t>מאז צאת הקטינה מבית החולים והשמתה הראשונה באומנת החירום</w:t>
      </w:r>
      <w:r w:rsidRPr="00806FF9">
        <w:rPr>
          <w:rFonts w:ascii="David" w:hAnsi="David" w:cs="David" w:hint="cs"/>
          <w:sz w:val="24"/>
          <w:szCs w:val="24"/>
          <w:rtl/>
        </w:rPr>
        <w:t xml:space="preserve"> </w:t>
      </w:r>
      <w:r>
        <w:rPr>
          <w:rFonts w:ascii="David" w:hAnsi="David" w:cs="David" w:hint="cs"/>
          <w:sz w:val="24"/>
          <w:szCs w:val="24"/>
          <w:rtl/>
        </w:rPr>
        <w:t xml:space="preserve">מתקיימים </w:t>
      </w:r>
      <w:r w:rsidRPr="00806FF9">
        <w:rPr>
          <w:rFonts w:ascii="David" w:hAnsi="David" w:cs="David" w:hint="cs"/>
          <w:sz w:val="24"/>
          <w:szCs w:val="24"/>
          <w:rtl/>
        </w:rPr>
        <w:t>המפגשים של המשיבים ע</w:t>
      </w:r>
      <w:r>
        <w:rPr>
          <w:rFonts w:ascii="David" w:hAnsi="David" w:cs="David" w:hint="cs"/>
          <w:sz w:val="24"/>
          <w:szCs w:val="24"/>
          <w:rtl/>
        </w:rPr>
        <w:t>מה</w:t>
      </w:r>
      <w:r w:rsidRPr="00806FF9">
        <w:rPr>
          <w:rFonts w:ascii="David" w:hAnsi="David" w:cs="David" w:hint="cs"/>
          <w:sz w:val="24"/>
          <w:szCs w:val="24"/>
          <w:rtl/>
        </w:rPr>
        <w:t xml:space="preserve"> </w:t>
      </w:r>
      <w:r>
        <w:rPr>
          <w:rFonts w:ascii="David" w:hAnsi="David" w:cs="David" w:hint="cs"/>
          <w:sz w:val="24"/>
          <w:szCs w:val="24"/>
          <w:rtl/>
        </w:rPr>
        <w:t xml:space="preserve">בתדירות של אחת לשבוע </w:t>
      </w:r>
      <w:r w:rsidRPr="00806FF9">
        <w:rPr>
          <w:rFonts w:ascii="David" w:hAnsi="David" w:cs="David" w:hint="cs"/>
          <w:sz w:val="24"/>
          <w:szCs w:val="24"/>
          <w:rtl/>
        </w:rPr>
        <w:t>במרכז הקשר בפיקוח מלא ובליווי אשת צוות מהמרכז</w:t>
      </w:r>
      <w:r>
        <w:rPr>
          <w:rFonts w:ascii="David" w:hAnsi="David" w:cs="David" w:hint="cs"/>
          <w:sz w:val="24"/>
          <w:szCs w:val="24"/>
          <w:rtl/>
        </w:rPr>
        <w:t>. המפגשים התקיימו באופן רצוף פרט להפסקה שחלה מיום 20.12.23 ועד ליום 3.1.24 בעקבות התפרצות של המשיב כלפי הצוות המטפל.</w:t>
      </w:r>
      <w:r w:rsidRPr="00806FF9">
        <w:rPr>
          <w:rFonts w:ascii="David" w:hAnsi="David" w:cs="David" w:hint="cs"/>
          <w:sz w:val="24"/>
          <w:szCs w:val="24"/>
          <w:rtl/>
        </w:rPr>
        <w:t xml:space="preserve"> </w:t>
      </w:r>
      <w:r>
        <w:rPr>
          <w:rFonts w:ascii="David" w:hAnsi="David" w:cs="David" w:hint="cs"/>
          <w:sz w:val="24"/>
          <w:szCs w:val="24"/>
          <w:rtl/>
        </w:rPr>
        <w:t>פורט</w:t>
      </w:r>
      <w:r w:rsidRPr="00806FF9">
        <w:rPr>
          <w:rFonts w:ascii="David" w:hAnsi="David" w:cs="David" w:hint="cs"/>
          <w:sz w:val="24"/>
          <w:szCs w:val="24"/>
          <w:rtl/>
        </w:rPr>
        <w:t xml:space="preserve"> </w:t>
      </w:r>
      <w:r>
        <w:rPr>
          <w:rFonts w:ascii="David" w:hAnsi="David" w:cs="David" w:hint="cs"/>
          <w:sz w:val="24"/>
          <w:szCs w:val="24"/>
          <w:rtl/>
        </w:rPr>
        <w:t>ש</w:t>
      </w:r>
      <w:r w:rsidRPr="00806FF9">
        <w:rPr>
          <w:rFonts w:ascii="David" w:hAnsi="David" w:cs="David" w:hint="cs"/>
          <w:sz w:val="24"/>
          <w:szCs w:val="24"/>
          <w:rtl/>
        </w:rPr>
        <w:t xml:space="preserve">על אף </w:t>
      </w:r>
      <w:r>
        <w:rPr>
          <w:rFonts w:ascii="David" w:hAnsi="David" w:cs="David" w:hint="cs"/>
          <w:sz w:val="24"/>
          <w:szCs w:val="24"/>
          <w:rtl/>
        </w:rPr>
        <w:t>אהבתם לקטינה ו</w:t>
      </w:r>
      <w:r w:rsidRPr="00806FF9">
        <w:rPr>
          <w:rFonts w:ascii="David" w:hAnsi="David" w:cs="David" w:hint="cs"/>
          <w:sz w:val="24"/>
          <w:szCs w:val="24"/>
          <w:rtl/>
        </w:rPr>
        <w:t>התרגשותם הרבה מהמפגשים מתקשים המשיבים לשהות ע</w:t>
      </w:r>
      <w:r>
        <w:rPr>
          <w:rFonts w:ascii="David" w:hAnsi="David" w:cs="David" w:hint="cs"/>
          <w:sz w:val="24"/>
          <w:szCs w:val="24"/>
          <w:rtl/>
        </w:rPr>
        <w:t>ם הקטינה</w:t>
      </w:r>
      <w:r w:rsidRPr="00806FF9">
        <w:rPr>
          <w:rFonts w:ascii="David" w:hAnsi="David" w:cs="David" w:hint="cs"/>
          <w:sz w:val="24"/>
          <w:szCs w:val="24"/>
          <w:rtl/>
        </w:rPr>
        <w:t xml:space="preserve"> לבד, התגלו קשיים בתפקוד</w:t>
      </w:r>
      <w:r>
        <w:rPr>
          <w:rFonts w:ascii="David" w:hAnsi="David" w:cs="David" w:hint="cs"/>
          <w:sz w:val="24"/>
          <w:szCs w:val="24"/>
          <w:rtl/>
        </w:rPr>
        <w:t>ם</w:t>
      </w:r>
      <w:r w:rsidRPr="00806FF9">
        <w:rPr>
          <w:rFonts w:ascii="David" w:hAnsi="David" w:cs="David" w:hint="cs"/>
          <w:sz w:val="24"/>
          <w:szCs w:val="24"/>
          <w:rtl/>
        </w:rPr>
        <w:t xml:space="preserve"> והתנהגותם לעיתים אינה מותאמת. המשיבים קיבלו גם </w:t>
      </w:r>
      <w:r>
        <w:rPr>
          <w:rFonts w:ascii="David" w:hAnsi="David" w:cs="David" w:hint="cs"/>
          <w:sz w:val="24"/>
          <w:szCs w:val="24"/>
          <w:rtl/>
        </w:rPr>
        <w:t xml:space="preserve">הדרכה במפגשי אינטראקציה ואולם אלו הופסקו כשלא הצליחו המשיבים להפיק מהם תועלת (נספח 28), כן קיבלו המשיבים </w:t>
      </w:r>
      <w:r w:rsidRPr="00806FF9">
        <w:rPr>
          <w:rFonts w:ascii="David" w:hAnsi="David" w:cs="David" w:hint="cs"/>
          <w:sz w:val="24"/>
          <w:szCs w:val="24"/>
          <w:rtl/>
        </w:rPr>
        <w:t>הדרכה הורית שהופסקה בשל התנהגות "בעייתית" מצדם בנוכחות הקטינה (סעיפים 110-111 לבקשה) ו</w:t>
      </w:r>
      <w:r>
        <w:rPr>
          <w:rFonts w:ascii="David" w:hAnsi="David" w:cs="David" w:hint="cs"/>
          <w:sz w:val="24"/>
          <w:szCs w:val="24"/>
          <w:rtl/>
        </w:rPr>
        <w:t>פורט ש</w:t>
      </w:r>
      <w:r w:rsidRPr="00806FF9">
        <w:rPr>
          <w:rFonts w:ascii="David" w:hAnsi="David" w:cs="David" w:hint="cs"/>
          <w:sz w:val="24"/>
          <w:szCs w:val="24"/>
          <w:rtl/>
        </w:rPr>
        <w:t>הם נדרשים לסיוע רב בהכוונה ותיאום לצורך קיום המפגשים (סעיף 149 לבקשה)</w:t>
      </w:r>
      <w:r>
        <w:rPr>
          <w:rFonts w:ascii="David" w:hAnsi="David" w:cs="David" w:hint="cs"/>
          <w:sz w:val="24"/>
          <w:szCs w:val="24"/>
          <w:rtl/>
        </w:rPr>
        <w:t>. על מנת להקל על עצמם המשיבים גם דרשו שהמפגשים עם הקטינה יתקיימו במרכז קשר סמוך למקום מגוריהם ולא בסמוך למקום מגורי הקטינה.</w:t>
      </w:r>
    </w:p>
    <w:p w:rsidR="002839CD" w:rsidRDefault="002839CD" w:rsidP="002839CD">
      <w:pPr>
        <w:pStyle w:val="a3"/>
        <w:spacing w:after="0" w:line="360" w:lineRule="auto"/>
        <w:ind w:left="360"/>
        <w:jc w:val="both"/>
        <w:rPr>
          <w:rFonts w:ascii="David" w:hAnsi="David" w:cs="David"/>
          <w:sz w:val="24"/>
          <w:szCs w:val="24"/>
          <w:rtl/>
        </w:rPr>
      </w:pPr>
    </w:p>
    <w:p w:rsidR="002839CD" w:rsidRDefault="002839CD" w:rsidP="002839CD">
      <w:pPr>
        <w:pStyle w:val="a3"/>
        <w:spacing w:after="0" w:line="360" w:lineRule="auto"/>
        <w:ind w:left="360"/>
        <w:jc w:val="both"/>
        <w:rPr>
          <w:rFonts w:ascii="David" w:hAnsi="David" w:cs="David"/>
          <w:sz w:val="24"/>
          <w:szCs w:val="24"/>
        </w:rPr>
      </w:pPr>
    </w:p>
    <w:p w:rsidR="002839CD" w:rsidRPr="00FA5191" w:rsidRDefault="002839CD" w:rsidP="002839CD">
      <w:pPr>
        <w:pStyle w:val="a3"/>
        <w:numPr>
          <w:ilvl w:val="0"/>
          <w:numId w:val="1"/>
        </w:numPr>
        <w:spacing w:after="0" w:line="360" w:lineRule="auto"/>
        <w:ind w:left="360"/>
        <w:jc w:val="both"/>
        <w:rPr>
          <w:rFonts w:ascii="David" w:hAnsi="David" w:cs="David"/>
          <w:sz w:val="24"/>
          <w:szCs w:val="24"/>
        </w:rPr>
      </w:pPr>
      <w:r w:rsidRPr="00FA5191">
        <w:rPr>
          <w:rFonts w:ascii="David" w:hAnsi="David" w:cs="David" w:hint="cs"/>
          <w:sz w:val="24"/>
          <w:szCs w:val="24"/>
          <w:rtl/>
        </w:rPr>
        <w:lastRenderedPageBreak/>
        <w:t xml:space="preserve">ביום 19.11.23 התכנסה וועדת תכנון טיפול בפעם השלישית בעניינה של הקטינה והומלץ על פתיחה בהליך אימוץ ובקשה להעביר את הקטינה למשפחה עם אופק אימוץ בכפוף למציאת משפחה מתאימה (נספח 40). לאחר שנמצאה משפחה שהסכימה לאמץ את הקטינה אם תוכרז בת אימוץ עתרה המבקשת ביום 2.2.24 </w:t>
      </w:r>
      <w:r>
        <w:rPr>
          <w:rFonts w:ascii="David" w:hAnsi="David" w:cs="David" w:hint="cs"/>
          <w:sz w:val="24"/>
          <w:szCs w:val="24"/>
          <w:rtl/>
        </w:rPr>
        <w:t>ב</w:t>
      </w:r>
      <w:r w:rsidRPr="00FA5191">
        <w:rPr>
          <w:rFonts w:ascii="David" w:hAnsi="David" w:cs="David" w:hint="cs"/>
          <w:sz w:val="24"/>
          <w:szCs w:val="24"/>
          <w:rtl/>
        </w:rPr>
        <w:t>בקשה דכאן, ובטרם הוגשה בקש</w:t>
      </w:r>
      <w:r>
        <w:rPr>
          <w:rFonts w:ascii="David" w:hAnsi="David" w:cs="David" w:hint="cs"/>
          <w:sz w:val="24"/>
          <w:szCs w:val="24"/>
          <w:rtl/>
        </w:rPr>
        <w:t>ת אימוץ.</w:t>
      </w:r>
      <w:r w:rsidRPr="00FA5191">
        <w:rPr>
          <w:rFonts w:ascii="David" w:hAnsi="David" w:cs="David" w:hint="cs"/>
          <w:sz w:val="24"/>
          <w:szCs w:val="24"/>
          <w:rtl/>
        </w:rPr>
        <w:t xml:space="preserve"> נטען שבשל המטען הגנטי של הקטינה, </w:t>
      </w:r>
      <w:r>
        <w:rPr>
          <w:rFonts w:ascii="David" w:hAnsi="David" w:cs="David" w:hint="cs"/>
          <w:sz w:val="24"/>
          <w:szCs w:val="24"/>
          <w:rtl/>
        </w:rPr>
        <w:t xml:space="preserve">המעברים התכופים שעברה בגילה </w:t>
      </w:r>
      <w:r w:rsidRPr="00FA5191">
        <w:rPr>
          <w:rFonts w:ascii="David" w:hAnsi="David" w:cs="David" w:hint="cs"/>
          <w:sz w:val="24"/>
          <w:szCs w:val="24"/>
          <w:rtl/>
        </w:rPr>
        <w:t xml:space="preserve">ובשל עיכוב התפתחותי ממנו היא סובלת היה </w:t>
      </w:r>
      <w:r>
        <w:rPr>
          <w:rFonts w:ascii="David" w:hAnsi="David" w:cs="David" w:hint="cs"/>
          <w:sz w:val="24"/>
          <w:szCs w:val="24"/>
          <w:rtl/>
        </w:rPr>
        <w:t>קושי</w:t>
      </w:r>
      <w:r w:rsidRPr="00FA5191">
        <w:rPr>
          <w:rFonts w:ascii="David" w:hAnsi="David" w:cs="David" w:hint="cs"/>
          <w:sz w:val="24"/>
          <w:szCs w:val="24"/>
          <w:rtl/>
        </w:rPr>
        <w:t xml:space="preserve"> למצוא משפחה שתביע הסכמה לאמצה (עמ' 7 לפרוטוקול מיום 15.2.24).</w:t>
      </w:r>
    </w:p>
    <w:p w:rsidR="002839CD" w:rsidRPr="00FA5191" w:rsidRDefault="002839CD" w:rsidP="002839CD">
      <w:pPr>
        <w:pStyle w:val="a3"/>
        <w:spacing w:after="0" w:line="360" w:lineRule="auto"/>
        <w:ind w:left="0"/>
        <w:rPr>
          <w:rFonts w:ascii="David" w:hAnsi="David" w:cs="David"/>
          <w:sz w:val="24"/>
          <w:szCs w:val="24"/>
          <w:rtl/>
        </w:rPr>
      </w:pPr>
    </w:p>
    <w:p w:rsidR="002839CD" w:rsidRDefault="002839CD" w:rsidP="002839CD">
      <w:pPr>
        <w:pStyle w:val="a3"/>
        <w:numPr>
          <w:ilvl w:val="0"/>
          <w:numId w:val="1"/>
        </w:numPr>
        <w:spacing w:after="0" w:line="360" w:lineRule="auto"/>
        <w:ind w:left="360"/>
        <w:jc w:val="both"/>
        <w:rPr>
          <w:rFonts w:ascii="David" w:hAnsi="David" w:cs="David"/>
          <w:sz w:val="24"/>
          <w:szCs w:val="24"/>
        </w:rPr>
      </w:pPr>
      <w:r w:rsidRPr="00584567">
        <w:rPr>
          <w:rFonts w:ascii="David" w:hAnsi="David" w:cs="David" w:hint="cs"/>
          <w:sz w:val="24"/>
          <w:szCs w:val="24"/>
          <w:rtl/>
        </w:rPr>
        <w:t xml:space="preserve">המשיבים לא חלקו </w:t>
      </w:r>
      <w:r>
        <w:rPr>
          <w:rFonts w:ascii="David" w:hAnsi="David" w:cs="David" w:hint="cs"/>
          <w:sz w:val="24"/>
          <w:szCs w:val="24"/>
          <w:rtl/>
        </w:rPr>
        <w:t xml:space="preserve">כאמור </w:t>
      </w:r>
      <w:r w:rsidRPr="00584567">
        <w:rPr>
          <w:rFonts w:ascii="David" w:hAnsi="David" w:cs="David" w:hint="cs"/>
          <w:sz w:val="24"/>
          <w:szCs w:val="24"/>
          <w:rtl/>
        </w:rPr>
        <w:t xml:space="preserve">על הרקע העובדתי שפורט בבקשה אך הדגישו שהמשיב </w:t>
      </w:r>
      <w:r>
        <w:rPr>
          <w:rFonts w:ascii="David" w:hAnsi="David" w:cs="David" w:hint="cs"/>
          <w:sz w:val="24"/>
          <w:szCs w:val="24"/>
          <w:rtl/>
        </w:rPr>
        <w:t xml:space="preserve">נפגע כתוצאה מחיסון שקיבל בצה"ל בסמוך לאחר גיוסו </w:t>
      </w:r>
      <w:r w:rsidRPr="00584567">
        <w:rPr>
          <w:rFonts w:ascii="David" w:hAnsi="David" w:cs="David" w:hint="cs"/>
          <w:sz w:val="24"/>
          <w:szCs w:val="24"/>
          <w:rtl/>
        </w:rPr>
        <w:t>ושאין בסיס לטענ</w:t>
      </w:r>
      <w:r>
        <w:rPr>
          <w:rFonts w:ascii="David" w:hAnsi="David" w:cs="David" w:hint="cs"/>
          <w:sz w:val="24"/>
          <w:szCs w:val="24"/>
          <w:rtl/>
        </w:rPr>
        <w:t>ה</w:t>
      </w:r>
      <w:r w:rsidRPr="00584567">
        <w:rPr>
          <w:rFonts w:ascii="David" w:hAnsi="David" w:cs="David" w:hint="cs"/>
          <w:sz w:val="24"/>
          <w:szCs w:val="24"/>
          <w:rtl/>
        </w:rPr>
        <w:t xml:space="preserve"> </w:t>
      </w:r>
      <w:r>
        <w:rPr>
          <w:rFonts w:ascii="David" w:hAnsi="David" w:cs="David" w:hint="cs"/>
          <w:sz w:val="24"/>
          <w:szCs w:val="24"/>
          <w:rtl/>
        </w:rPr>
        <w:t>שמחלתו</w:t>
      </w:r>
      <w:r w:rsidRPr="00584567">
        <w:rPr>
          <w:rFonts w:ascii="David" w:hAnsi="David" w:cs="David" w:hint="cs"/>
          <w:sz w:val="24"/>
          <w:szCs w:val="24"/>
          <w:rtl/>
        </w:rPr>
        <w:t xml:space="preserve"> עוברת בתורשה ומשפיעה על המטען הגנטי של הקטינה</w:t>
      </w:r>
      <w:r>
        <w:rPr>
          <w:rFonts w:ascii="David" w:hAnsi="David" w:cs="David" w:hint="cs"/>
          <w:sz w:val="24"/>
          <w:szCs w:val="24"/>
          <w:rtl/>
        </w:rPr>
        <w:t xml:space="preserve"> (סעיף 57 לתגובה)</w:t>
      </w:r>
      <w:r w:rsidRPr="00584567">
        <w:rPr>
          <w:rFonts w:ascii="David" w:hAnsi="David" w:cs="David" w:hint="cs"/>
          <w:sz w:val="24"/>
          <w:szCs w:val="24"/>
          <w:rtl/>
        </w:rPr>
        <w:t xml:space="preserve">. עוד </w:t>
      </w:r>
      <w:r>
        <w:rPr>
          <w:rFonts w:ascii="David" w:hAnsi="David" w:cs="David" w:hint="cs"/>
          <w:sz w:val="24"/>
          <w:szCs w:val="24"/>
          <w:rtl/>
        </w:rPr>
        <w:t xml:space="preserve">טענו המשיבים </w:t>
      </w:r>
      <w:r w:rsidRPr="00584567">
        <w:rPr>
          <w:rFonts w:ascii="David" w:hAnsi="David" w:cs="David" w:hint="cs"/>
          <w:sz w:val="24"/>
          <w:szCs w:val="24"/>
          <w:rtl/>
        </w:rPr>
        <w:t>שאין ללמוד על מסוגלות</w:t>
      </w:r>
      <w:r>
        <w:rPr>
          <w:rFonts w:ascii="David" w:hAnsi="David" w:cs="David" w:hint="cs"/>
          <w:sz w:val="24"/>
          <w:szCs w:val="24"/>
          <w:rtl/>
        </w:rPr>
        <w:t>ה ההורית של</w:t>
      </w:r>
      <w:r w:rsidRPr="00584567">
        <w:rPr>
          <w:rFonts w:ascii="David" w:hAnsi="David" w:cs="David" w:hint="cs"/>
          <w:sz w:val="24"/>
          <w:szCs w:val="24"/>
          <w:rtl/>
        </w:rPr>
        <w:t xml:space="preserve"> המשיבה מהוצאת ילדיה הגדולים ממשמורתה </w:t>
      </w:r>
      <w:r>
        <w:rPr>
          <w:rFonts w:ascii="David" w:hAnsi="David" w:cs="David" w:hint="cs"/>
          <w:sz w:val="24"/>
          <w:szCs w:val="24"/>
          <w:rtl/>
        </w:rPr>
        <w:t>לאומנה (סעיף 55 לתגובה)</w:t>
      </w:r>
      <w:r w:rsidRPr="00584567">
        <w:rPr>
          <w:rFonts w:ascii="David" w:hAnsi="David" w:cs="David" w:hint="cs"/>
          <w:sz w:val="24"/>
          <w:szCs w:val="24"/>
          <w:rtl/>
        </w:rPr>
        <w:t xml:space="preserve">. </w:t>
      </w:r>
      <w:r>
        <w:rPr>
          <w:rFonts w:ascii="David" w:hAnsi="David" w:cs="David" w:hint="cs"/>
          <w:sz w:val="24"/>
          <w:szCs w:val="24"/>
          <w:rtl/>
        </w:rPr>
        <w:t>בתצהירה הצהירה המשיבה גם שהקטינה הוברחה מבית החולים בטרם התאפשר לה לערער על הצו שניתן על ידי בית המשפט לנוער להעברתה לאומנת חירום, וכי התקיימו מחדלים מצד הרווחה "מתחילת התיק" (סעיף 6 לתצהירה), וכי לא הובררו החלופות להשמת הקטינה באומנה בחיק משפחתה המורחבת (אחותה ואמה). כן הצהירה שבחלוף הזמן מאז שהוצאו ילדיה הגדולים לאומנה חלה הטבה במצבה. המשיב הצהיר שגורמי הרווחה לא אפשרו להם להיות מיוצגים בוועדות תכנון טיפול ורמסו את זכויותיהם הדיוניות (סעיפים 6-7 לתצהירו) וכי הופעל עליהם לחץ להסכים לאומנת הקרובים (אחיינית שלו) שעה שהעדיפו שאמה ואחותה של המשיבה ישמשו כאומנת קרובים (סעיף 8 לתצהירו).</w:t>
      </w:r>
    </w:p>
    <w:p w:rsidR="002839CD" w:rsidRPr="00A8068D" w:rsidRDefault="002839CD" w:rsidP="002839CD">
      <w:pPr>
        <w:pStyle w:val="a3"/>
        <w:spacing w:after="0" w:line="360" w:lineRule="auto"/>
        <w:ind w:left="0"/>
        <w:rPr>
          <w:rFonts w:ascii="David" w:hAnsi="David" w:cs="David"/>
          <w:sz w:val="24"/>
          <w:szCs w:val="24"/>
          <w:rtl/>
        </w:rPr>
      </w:pPr>
    </w:p>
    <w:p w:rsidR="002839CD" w:rsidRDefault="002839CD" w:rsidP="002839CD">
      <w:pPr>
        <w:pStyle w:val="a3"/>
        <w:numPr>
          <w:ilvl w:val="0"/>
          <w:numId w:val="1"/>
        </w:numPr>
        <w:spacing w:after="0" w:line="360" w:lineRule="auto"/>
        <w:ind w:left="360"/>
        <w:jc w:val="both"/>
        <w:rPr>
          <w:rFonts w:ascii="David" w:hAnsi="David" w:cs="David"/>
          <w:sz w:val="24"/>
          <w:szCs w:val="24"/>
        </w:rPr>
      </w:pPr>
      <w:r w:rsidRPr="00FA5191">
        <w:rPr>
          <w:rFonts w:ascii="David" w:hAnsi="David" w:cs="David" w:hint="cs"/>
          <w:sz w:val="24"/>
          <w:szCs w:val="24"/>
          <w:rtl/>
        </w:rPr>
        <w:t xml:space="preserve">בתגובה לא ביקשו המשיבים לקבל את הקטינה לידיהם (כפי שלא ביקשו גם בהליך שהתנהל עד כה בבית המשפט לנוער </w:t>
      </w:r>
      <w:r>
        <w:rPr>
          <w:rFonts w:ascii="David" w:hAnsi="David" w:cs="David" w:hint="cs"/>
          <w:sz w:val="24"/>
          <w:szCs w:val="24"/>
          <w:rtl/>
        </w:rPr>
        <w:t>ו</w:t>
      </w:r>
      <w:r w:rsidRPr="00FA5191">
        <w:rPr>
          <w:rFonts w:ascii="David" w:hAnsi="David" w:cs="David" w:hint="cs"/>
          <w:sz w:val="24"/>
          <w:szCs w:val="24"/>
          <w:rtl/>
        </w:rPr>
        <w:t xml:space="preserve">בדיון </w:t>
      </w:r>
      <w:r>
        <w:rPr>
          <w:rFonts w:ascii="David" w:hAnsi="David" w:cs="David" w:hint="cs"/>
          <w:sz w:val="24"/>
          <w:szCs w:val="24"/>
          <w:rtl/>
        </w:rPr>
        <w:t>שהתקיים לפני ב</w:t>
      </w:r>
      <w:r w:rsidRPr="00FA5191">
        <w:rPr>
          <w:rFonts w:ascii="David" w:hAnsi="David" w:cs="David" w:hint="cs"/>
          <w:sz w:val="24"/>
          <w:szCs w:val="24"/>
          <w:rtl/>
        </w:rPr>
        <w:t xml:space="preserve">יום 15.2.24) וניכר שיש תמימות דעים שאין להם, למצער לעת הזאת, את המסוגלות לטפל בקטינה הנובעת ממצבם. </w:t>
      </w:r>
    </w:p>
    <w:p w:rsidR="002839CD" w:rsidRDefault="002839CD" w:rsidP="002839CD">
      <w:pPr>
        <w:pStyle w:val="a3"/>
        <w:spacing w:after="0" w:line="360" w:lineRule="auto"/>
        <w:ind w:left="360"/>
        <w:jc w:val="both"/>
        <w:rPr>
          <w:rFonts w:ascii="David" w:hAnsi="David" w:cs="David"/>
          <w:sz w:val="24"/>
          <w:szCs w:val="24"/>
        </w:rPr>
      </w:pPr>
      <w:r w:rsidRPr="00FA5191">
        <w:rPr>
          <w:rFonts w:ascii="David" w:hAnsi="David" w:cs="David" w:hint="cs"/>
          <w:sz w:val="24"/>
          <w:szCs w:val="24"/>
          <w:rtl/>
        </w:rPr>
        <w:t xml:space="preserve">עם זאת סבורים המשיבים שיש סיכוי שמצבם ישתנה בעזרה סבירה כמקובל ברשויות הסעד לשיקומם ועל כן לא מתקיימת עילת אימוץ כלפיהם. </w:t>
      </w:r>
      <w:r>
        <w:rPr>
          <w:rFonts w:ascii="David" w:hAnsi="David" w:cs="David" w:hint="cs"/>
          <w:sz w:val="24"/>
          <w:szCs w:val="24"/>
          <w:rtl/>
        </w:rPr>
        <w:t xml:space="preserve">לפיכך </w:t>
      </w:r>
      <w:r w:rsidRPr="00FA5191">
        <w:rPr>
          <w:rFonts w:ascii="David" w:hAnsi="David" w:cs="David" w:hint="cs"/>
          <w:sz w:val="24"/>
          <w:szCs w:val="24"/>
          <w:rtl/>
        </w:rPr>
        <w:t xml:space="preserve">מבקשים הם לדחות את הבקשה ולהותיר אל הקטינה במרכז החירום עד להכרעה בהליך בר האימוץ, כפי שקורה לדבריהם לא אחת בהליכי אימוץ וזאת כדי להימנע מ"רתימת העגלה לפני הסוסים" (כלשונם) ומפני מצב שבו חלוף הזמן שהקטינה תשהה עם המשפחה המיועדת לאימוץ יכתיב כשלעצמו בסופו של דבר את התוצאה. כן נטען על ידיהם שלא נבחנה האפשרות של השמת הקטינה באומנת קרובים אצל אם המשיבה או אחותה, וכי </w:t>
      </w:r>
      <w:r>
        <w:rPr>
          <w:rFonts w:ascii="David" w:hAnsi="David" w:cs="David" w:hint="cs"/>
          <w:sz w:val="24"/>
          <w:szCs w:val="24"/>
          <w:rtl/>
        </w:rPr>
        <w:t>לא הוכח צורך דחוף בהוצאת הקטינה מאומנת החירום ושהפעולה המבוקשת נדרשת למניעת נזק לקטינה.</w:t>
      </w:r>
    </w:p>
    <w:p w:rsidR="002839CD" w:rsidRDefault="002839CD" w:rsidP="002839CD">
      <w:pPr>
        <w:pStyle w:val="a3"/>
        <w:numPr>
          <w:ilvl w:val="0"/>
          <w:numId w:val="1"/>
        </w:numPr>
        <w:spacing w:after="0" w:line="360" w:lineRule="auto"/>
        <w:ind w:left="360"/>
        <w:jc w:val="both"/>
        <w:rPr>
          <w:rStyle w:val="default"/>
          <w:rFonts w:ascii="Miriam" w:hAnsi="Miriam" w:cs="Miriam"/>
          <w:b/>
          <w:bCs/>
          <w:sz w:val="24"/>
          <w:szCs w:val="24"/>
        </w:rPr>
      </w:pPr>
      <w:r w:rsidRPr="00D51C7F">
        <w:rPr>
          <w:rFonts w:ascii="David" w:hAnsi="David" w:cs="David" w:hint="cs"/>
          <w:sz w:val="24"/>
          <w:szCs w:val="24"/>
          <w:rtl/>
        </w:rPr>
        <w:lastRenderedPageBreak/>
        <w:t xml:space="preserve">הוראת סעיף 12 (ג) </w:t>
      </w:r>
      <w:r>
        <w:rPr>
          <w:rFonts w:ascii="David" w:hAnsi="David" w:cs="David" w:hint="cs"/>
          <w:sz w:val="24"/>
          <w:szCs w:val="24"/>
          <w:rtl/>
        </w:rPr>
        <w:t>ל</w:t>
      </w:r>
      <w:r w:rsidRPr="00FA5191">
        <w:rPr>
          <w:rFonts w:ascii="David" w:hAnsi="David" w:cs="David" w:hint="cs"/>
          <w:b/>
          <w:bCs/>
          <w:sz w:val="24"/>
          <w:szCs w:val="24"/>
          <w:rtl/>
        </w:rPr>
        <w:t>חוק האימוץ</w:t>
      </w:r>
      <w:r>
        <w:rPr>
          <w:rFonts w:ascii="David" w:hAnsi="David" w:cs="David" w:hint="cs"/>
          <w:sz w:val="24"/>
          <w:szCs w:val="24"/>
          <w:rtl/>
        </w:rPr>
        <w:t xml:space="preserve"> מעניקה סמכות לעו"ס לפי חוק האימוץ לקבוע את מקום השמת קטין אצל משפחה שמסכימה לאמצו ועוד בטרם הוגשה בקשת אימוץ וזאת בנסיבות שהדבר מוצדק, כדי למנוע נזק לקטין. </w:t>
      </w:r>
      <w:r w:rsidRPr="00D51C7F">
        <w:rPr>
          <w:rStyle w:val="default"/>
          <w:rFonts w:ascii="Miriam" w:hAnsi="Miriam" w:cs="Miriam"/>
          <w:b/>
          <w:bCs/>
          <w:sz w:val="24"/>
          <w:szCs w:val="24"/>
          <w:rtl/>
        </w:rPr>
        <w:t>"ראה עובד סוציאלי לפי חוק האימוץ שהדבר מוצדק כדי למנוע נזק לילד, רשאי הוא, אף בלא הסכמת ההורים או הכרזה על הילד כבר-אימוץ, לקבוע את מקום הימצאו של הילד או למסרו למי שהסכים לקבלו לביתו, לרבות למי שהסכים לקבלו לביתו בכוונה לאמצו; פעולה כאמור טעונה את אישור בית המשפט".</w:t>
      </w:r>
    </w:p>
    <w:p w:rsidR="002839CD" w:rsidRPr="00730267" w:rsidRDefault="002839CD" w:rsidP="002839CD">
      <w:pPr>
        <w:pStyle w:val="a3"/>
        <w:spacing w:after="0" w:line="360" w:lineRule="auto"/>
        <w:ind w:left="0"/>
        <w:rPr>
          <w:rStyle w:val="default"/>
          <w:rFonts w:ascii="Miriam" w:hAnsi="Miriam" w:cs="Miriam"/>
          <w:b/>
          <w:bCs/>
          <w:sz w:val="24"/>
          <w:szCs w:val="24"/>
          <w:rtl/>
        </w:rPr>
      </w:pPr>
    </w:p>
    <w:p w:rsidR="002839CD" w:rsidRPr="00833828" w:rsidRDefault="002839CD" w:rsidP="002839CD">
      <w:pPr>
        <w:pStyle w:val="a3"/>
        <w:numPr>
          <w:ilvl w:val="0"/>
          <w:numId w:val="1"/>
        </w:numPr>
        <w:spacing w:after="0" w:line="360" w:lineRule="auto"/>
        <w:ind w:left="360"/>
        <w:jc w:val="both"/>
        <w:rPr>
          <w:rFonts w:ascii="David" w:hAnsi="David" w:cs="David"/>
          <w:sz w:val="24"/>
          <w:szCs w:val="24"/>
        </w:rPr>
      </w:pPr>
      <w:r w:rsidRPr="00833828">
        <w:rPr>
          <w:rFonts w:ascii="David" w:hAnsi="David" w:cs="David" w:hint="cs"/>
          <w:sz w:val="24"/>
          <w:szCs w:val="24"/>
          <w:rtl/>
        </w:rPr>
        <w:t xml:space="preserve">המדובר בהליך שהוא בבחינת סעד ביניים בהליך האימוץ שלצורך קבלתו יש לבחון אם הונחה תשתית מספקת לכאורה להכרזת הקטין בר אימוץ ואם הפעולה מוצדקת כדי למנוע נזק לילד [אמ"צ 47475-02-21 </w:t>
      </w:r>
      <w:r w:rsidRPr="00833828">
        <w:rPr>
          <w:rFonts w:ascii="David" w:hAnsi="David" w:cs="David" w:hint="cs"/>
          <w:b/>
          <w:bCs/>
          <w:sz w:val="24"/>
          <w:szCs w:val="24"/>
          <w:rtl/>
        </w:rPr>
        <w:t>פלונית נ' היועץ המשפטי לממשלה</w:t>
      </w:r>
      <w:r w:rsidRPr="00833828">
        <w:rPr>
          <w:rFonts w:ascii="David" w:hAnsi="David" w:cs="David" w:hint="cs"/>
          <w:sz w:val="24"/>
          <w:szCs w:val="24"/>
          <w:rtl/>
        </w:rPr>
        <w:t>, (פורסם בנבו,</w:t>
      </w:r>
      <w:r>
        <w:rPr>
          <w:rFonts w:ascii="David" w:hAnsi="David" w:cs="David" w:hint="cs"/>
          <w:sz w:val="24"/>
          <w:szCs w:val="24"/>
          <w:rtl/>
        </w:rPr>
        <w:t xml:space="preserve"> 22.3.21</w:t>
      </w:r>
      <w:r w:rsidRPr="00833828">
        <w:rPr>
          <w:rFonts w:ascii="David" w:hAnsi="David" w:cs="David" w:hint="cs"/>
          <w:sz w:val="24"/>
          <w:szCs w:val="24"/>
          <w:rtl/>
        </w:rPr>
        <w:t xml:space="preserve">)]. </w:t>
      </w:r>
      <w:r w:rsidRPr="00833828">
        <w:rPr>
          <w:rFonts w:ascii="David" w:hAnsi="David" w:cs="David"/>
          <w:sz w:val="24"/>
          <w:szCs w:val="24"/>
          <w:rtl/>
        </w:rPr>
        <w:t xml:space="preserve">לאור החשש שיקבעו עובדות בשטח אם הקטין יועבר למשפחת אומנה בכוונה לאמצו לפני שהוכרז </w:t>
      </w:r>
      <w:bookmarkStart w:id="1" w:name="Seif32"/>
      <w:r w:rsidRPr="00833828">
        <w:rPr>
          <w:rFonts w:ascii="David" w:hAnsi="David" w:cs="David"/>
          <w:sz w:val="24"/>
          <w:szCs w:val="24"/>
          <w:rtl/>
        </w:rPr>
        <w:t xml:space="preserve">כבר </w:t>
      </w:r>
      <w:bookmarkEnd w:id="1"/>
      <w:r w:rsidRPr="00833828">
        <w:rPr>
          <w:rFonts w:ascii="David" w:hAnsi="David" w:cs="David"/>
          <w:sz w:val="24"/>
          <w:szCs w:val="24"/>
          <w:rtl/>
        </w:rPr>
        <w:t>אימוץ, נקבע שיש</w:t>
      </w:r>
      <w:r w:rsidRPr="00833828">
        <w:rPr>
          <w:rFonts w:ascii="David" w:hAnsi="David" w:cs="David" w:hint="cs"/>
          <w:sz w:val="24"/>
          <w:szCs w:val="24"/>
          <w:rtl/>
        </w:rPr>
        <w:t xml:space="preserve"> </w:t>
      </w:r>
      <w:r w:rsidRPr="00833828">
        <w:rPr>
          <w:rFonts w:cs="David" w:hint="cs"/>
          <w:sz w:val="24"/>
          <w:szCs w:val="24"/>
          <w:rtl/>
        </w:rPr>
        <w:t xml:space="preserve">לעשות </w:t>
      </w:r>
      <w:r>
        <w:rPr>
          <w:rFonts w:cs="David" w:hint="cs"/>
          <w:sz w:val="24"/>
          <w:szCs w:val="24"/>
          <w:rtl/>
        </w:rPr>
        <w:t xml:space="preserve">בסעיף זה שימוש </w:t>
      </w:r>
      <w:r w:rsidRPr="00833828">
        <w:rPr>
          <w:rFonts w:cs="David" w:hint="cs"/>
          <w:sz w:val="24"/>
          <w:szCs w:val="24"/>
          <w:rtl/>
        </w:rPr>
        <w:t>זהיר ובמשורה ובמקרים חריגים ביותר</w:t>
      </w:r>
      <w:r>
        <w:rPr>
          <w:rFonts w:cs="David" w:hint="cs"/>
          <w:sz w:val="24"/>
          <w:szCs w:val="24"/>
          <w:rtl/>
        </w:rPr>
        <w:t>,</w:t>
      </w:r>
      <w:r w:rsidRPr="00833828">
        <w:rPr>
          <w:rFonts w:cs="David" w:hint="cs"/>
          <w:sz w:val="24"/>
          <w:szCs w:val="24"/>
          <w:rtl/>
        </w:rPr>
        <w:t xml:space="preserve"> וכי יש להעדיף ככלל למסור את הקטין </w:t>
      </w:r>
      <w:r>
        <w:rPr>
          <w:rFonts w:cs="David" w:hint="cs"/>
          <w:sz w:val="24"/>
          <w:szCs w:val="24"/>
          <w:rtl/>
        </w:rPr>
        <w:t>ל</w:t>
      </w:r>
      <w:r w:rsidRPr="00833828">
        <w:rPr>
          <w:rFonts w:cs="David" w:hint="cs"/>
          <w:sz w:val="24"/>
          <w:szCs w:val="24"/>
          <w:rtl/>
        </w:rPr>
        <w:t>אומנה זמנית ולהאיץ ככל הניתן את ההליך המשפטי [</w:t>
      </w:r>
      <w:r w:rsidRPr="00833828">
        <w:rPr>
          <w:rFonts w:cs="David" w:hint="cs"/>
          <w:color w:val="000000" w:themeColor="text1"/>
          <w:sz w:val="24"/>
          <w:szCs w:val="24"/>
          <w:rtl/>
        </w:rPr>
        <w:t xml:space="preserve">דנ"א 6211/13, דנ"א 6252/13 </w:t>
      </w:r>
      <w:r w:rsidRPr="00833828">
        <w:rPr>
          <w:rFonts w:ascii="David" w:hAnsi="David" w:cs="David"/>
          <w:b/>
          <w:bCs/>
          <w:color w:val="000000" w:themeColor="text1"/>
          <w:sz w:val="24"/>
          <w:szCs w:val="24"/>
          <w:rtl/>
        </w:rPr>
        <w:t>היועמ"ש נ' פלונית</w:t>
      </w:r>
      <w:r w:rsidRPr="00833828">
        <w:rPr>
          <w:rFonts w:cs="David" w:hint="cs"/>
          <w:color w:val="000000" w:themeColor="text1"/>
          <w:sz w:val="24"/>
          <w:szCs w:val="24"/>
          <w:rtl/>
        </w:rPr>
        <w:t xml:space="preserve"> (פורסם בנבו, 23.12.13)].</w:t>
      </w:r>
      <w:r w:rsidRPr="00833828">
        <w:rPr>
          <w:rFonts w:ascii="David" w:hAnsi="David" w:cs="David"/>
          <w:sz w:val="24"/>
          <w:szCs w:val="24"/>
          <w:rtl/>
        </w:rPr>
        <w:t xml:space="preserve"> </w:t>
      </w:r>
    </w:p>
    <w:p w:rsidR="002839CD" w:rsidRDefault="002839CD" w:rsidP="002839CD">
      <w:pPr>
        <w:pStyle w:val="a3"/>
        <w:spacing w:after="0" w:line="360" w:lineRule="auto"/>
        <w:ind w:left="360"/>
        <w:jc w:val="both"/>
        <w:rPr>
          <w:rFonts w:ascii="David" w:hAnsi="David" w:cs="David"/>
          <w:sz w:val="24"/>
          <w:szCs w:val="24"/>
        </w:rPr>
      </w:pPr>
    </w:p>
    <w:p w:rsidR="002839CD" w:rsidRPr="00DE1E22" w:rsidRDefault="002839CD" w:rsidP="002839CD">
      <w:pPr>
        <w:pStyle w:val="a3"/>
        <w:numPr>
          <w:ilvl w:val="0"/>
          <w:numId w:val="1"/>
        </w:numPr>
        <w:spacing w:after="0" w:line="360" w:lineRule="auto"/>
        <w:ind w:left="360"/>
        <w:jc w:val="both"/>
        <w:rPr>
          <w:rFonts w:ascii="David" w:hAnsi="David" w:cs="David"/>
          <w:sz w:val="24"/>
          <w:szCs w:val="24"/>
          <w:rtl/>
        </w:rPr>
      </w:pPr>
      <w:r w:rsidRPr="00DE1E22">
        <w:rPr>
          <w:rFonts w:ascii="David" w:eastAsia="Times New Roman" w:hAnsi="David" w:cs="David"/>
          <w:sz w:val="24"/>
          <w:szCs w:val="24"/>
          <w:rtl/>
        </w:rPr>
        <w:t xml:space="preserve">לאחר </w:t>
      </w:r>
      <w:r w:rsidRPr="00DE1E22">
        <w:rPr>
          <w:rFonts w:ascii="David" w:eastAsia="Times New Roman" w:hAnsi="David" w:cs="David" w:hint="cs"/>
          <w:sz w:val="24"/>
          <w:szCs w:val="24"/>
          <w:rtl/>
        </w:rPr>
        <w:t xml:space="preserve">שבחנתי את כל טיעוני הצדדים ולאחר </w:t>
      </w:r>
      <w:r w:rsidRPr="00DE1E22">
        <w:rPr>
          <w:rFonts w:ascii="David" w:eastAsia="Times New Roman" w:hAnsi="David" w:cs="David"/>
          <w:sz w:val="24"/>
          <w:szCs w:val="24"/>
          <w:rtl/>
        </w:rPr>
        <w:t>ששקלתי את הדברים בזהירות המתבקשת, כמצוות הדין והפסיקה,</w:t>
      </w:r>
      <w:r w:rsidRPr="00DE1E22">
        <w:rPr>
          <w:rFonts w:ascii="David" w:hAnsi="David" w:cs="David" w:hint="cs"/>
          <w:sz w:val="24"/>
          <w:szCs w:val="24"/>
          <w:rtl/>
        </w:rPr>
        <w:t xml:space="preserve"> שוכנעתי שמקרה זה על נסיבותיו הוא המקרה החריג המצדיק לקבל את הבקשה ולהתיר את השמת הקטינה במשפחה שהביעה הסכמה לאמצה, אם תוכרז בת אימוץ. כפי שיפורט להלן הוכחה תשתית לכאורית לקיומה של עילת אימוץ כלפי המשיבים והוכח שהוצאת הקטינה מאומנת החירום למשפחה עם כוונת אימוץ מוצדקת על מנת למנוע נזק לקטינה.</w:t>
      </w:r>
    </w:p>
    <w:p w:rsidR="002839CD" w:rsidRDefault="002839CD" w:rsidP="002839CD">
      <w:pPr>
        <w:pStyle w:val="a3"/>
        <w:spacing w:after="0" w:line="360" w:lineRule="auto"/>
        <w:ind w:left="360"/>
        <w:jc w:val="both"/>
        <w:rPr>
          <w:rFonts w:ascii="David" w:hAnsi="David" w:cs="David"/>
          <w:sz w:val="24"/>
          <w:szCs w:val="24"/>
        </w:rPr>
      </w:pPr>
    </w:p>
    <w:p w:rsidR="002839CD" w:rsidRDefault="002839CD" w:rsidP="002839CD">
      <w:pPr>
        <w:pStyle w:val="a3"/>
        <w:numPr>
          <w:ilvl w:val="0"/>
          <w:numId w:val="1"/>
        </w:numPr>
        <w:spacing w:after="0" w:line="360" w:lineRule="auto"/>
        <w:ind w:left="360"/>
        <w:jc w:val="both"/>
        <w:rPr>
          <w:rFonts w:ascii="David" w:hAnsi="David" w:cs="David"/>
          <w:sz w:val="24"/>
          <w:szCs w:val="24"/>
        </w:rPr>
      </w:pPr>
      <w:r w:rsidRPr="005A291B">
        <w:rPr>
          <w:rFonts w:ascii="David" w:hAnsi="David" w:cs="David" w:hint="cs"/>
          <w:sz w:val="24"/>
          <w:szCs w:val="24"/>
          <w:rtl/>
        </w:rPr>
        <w:t xml:space="preserve">אכן </w:t>
      </w:r>
      <w:r>
        <w:rPr>
          <w:rFonts w:ascii="David" w:hAnsi="David" w:cs="David" w:hint="cs"/>
          <w:sz w:val="24"/>
          <w:szCs w:val="24"/>
          <w:rtl/>
        </w:rPr>
        <w:t xml:space="preserve">כנטען על ידי המשיבים </w:t>
      </w:r>
      <w:r w:rsidRPr="005A291B">
        <w:rPr>
          <w:rFonts w:ascii="David" w:hAnsi="David" w:cs="David" w:hint="cs"/>
          <w:sz w:val="24"/>
          <w:szCs w:val="24"/>
          <w:rtl/>
        </w:rPr>
        <w:t>טרם נבדקה מסוגלותם ההורית על ידי מומחה</w:t>
      </w:r>
      <w:r>
        <w:rPr>
          <w:rFonts w:ascii="David" w:hAnsi="David" w:cs="David" w:hint="cs"/>
          <w:sz w:val="24"/>
          <w:szCs w:val="24"/>
          <w:rtl/>
        </w:rPr>
        <w:t>, ואולם ישנן ראיות לכאוריות השוללות את מסוגלותם לגדל את הקטינה</w:t>
      </w:r>
      <w:r w:rsidRPr="005A291B">
        <w:rPr>
          <w:rFonts w:ascii="David" w:hAnsi="David" w:cs="David" w:hint="cs"/>
          <w:sz w:val="24"/>
          <w:szCs w:val="24"/>
          <w:rtl/>
        </w:rPr>
        <w:t>.</w:t>
      </w:r>
      <w:r>
        <w:rPr>
          <w:rFonts w:ascii="David" w:hAnsi="David" w:cs="David" w:hint="cs"/>
          <w:sz w:val="24"/>
          <w:szCs w:val="24"/>
          <w:rtl/>
        </w:rPr>
        <w:t xml:space="preserve"> כידוע מצבו של ההורה בהווה הוא תנאי לקיום העילה הקבועה בהוראת סעיף 13 (7) ל</w:t>
      </w:r>
      <w:r w:rsidRPr="00502B77">
        <w:rPr>
          <w:rFonts w:ascii="David" w:hAnsi="David" w:cs="David" w:hint="cs"/>
          <w:b/>
          <w:bCs/>
          <w:sz w:val="24"/>
          <w:szCs w:val="24"/>
          <w:rtl/>
        </w:rPr>
        <w:t xml:space="preserve">חוק האימוץ </w:t>
      </w:r>
      <w:r>
        <w:rPr>
          <w:rFonts w:ascii="David" w:hAnsi="David" w:cs="David" w:hint="cs"/>
          <w:sz w:val="24"/>
          <w:szCs w:val="24"/>
          <w:rtl/>
        </w:rPr>
        <w:t xml:space="preserve">אשר לפיה על בית המשפט להשתכנע כי ההורה אינו מסוגל לדאוג לילדו כראוי. המשיבים מתמודדים שנים רבות עם מחלת נפש כרונית ודומה שאין חולק למעשה שהמשיבים לא מסוגלים לעת הזאת לגדל את הקטינה בשל מצבם. </w:t>
      </w:r>
    </w:p>
    <w:p w:rsidR="002839CD" w:rsidRDefault="002839CD" w:rsidP="002839CD">
      <w:pPr>
        <w:pStyle w:val="a3"/>
        <w:spacing w:after="0" w:line="360" w:lineRule="auto"/>
        <w:ind w:left="360"/>
        <w:jc w:val="both"/>
        <w:rPr>
          <w:rFonts w:ascii="David" w:hAnsi="David" w:cs="David"/>
          <w:sz w:val="24"/>
          <w:szCs w:val="24"/>
          <w:rtl/>
        </w:rPr>
      </w:pPr>
      <w:r>
        <w:rPr>
          <w:rFonts w:ascii="David" w:hAnsi="David" w:cs="David" w:hint="cs"/>
          <w:sz w:val="24"/>
          <w:szCs w:val="24"/>
          <w:rtl/>
        </w:rPr>
        <w:t xml:space="preserve">הגם שבוועדות תכנון טיפול הביעו המשיבים את רצונם לגדל בעצמם את בתם הלכה למעשה מאז שנולדה ועד כה המשיבים לא גידלו את הקטינה, שהוצאה ממשמורתם בהחלטת בית המשפט לנוער בסמוך לאחר לידתה. אף קודם לכן לא טיפלו המשיבים בעצמם בקטינה בבית החולים וגם במהלך תקופת האשפוז הסוציאלי לא היו מעורבים בטיפול בה (סעיף 59 לבקשה). </w:t>
      </w:r>
    </w:p>
    <w:p w:rsidR="002839CD" w:rsidRDefault="002839CD" w:rsidP="002839CD">
      <w:pPr>
        <w:pStyle w:val="a3"/>
        <w:spacing w:after="0" w:line="360" w:lineRule="auto"/>
        <w:ind w:left="360"/>
        <w:jc w:val="both"/>
        <w:rPr>
          <w:rFonts w:ascii="David" w:hAnsi="David" w:cs="David"/>
          <w:sz w:val="24"/>
          <w:szCs w:val="24"/>
          <w:rtl/>
        </w:rPr>
      </w:pPr>
      <w:r>
        <w:rPr>
          <w:rFonts w:ascii="David" w:hAnsi="David" w:cs="David" w:hint="cs"/>
          <w:sz w:val="24"/>
          <w:szCs w:val="24"/>
          <w:rtl/>
        </w:rPr>
        <w:lastRenderedPageBreak/>
        <w:t>כעולה מהחומר שצורף לא אחת הביעו המשיבים בעצמם את הכרתם בחוסר מסוגלותם לטפל בקטינה והסכמתם להשמתה באומנת קרובים, ומנגד התקשו להכיר בספק שעלה ביחס למסוגלותם והביעו תרעומת על כך שלא מאפשרים להם לגדלה.</w:t>
      </w:r>
    </w:p>
    <w:p w:rsidR="002839CD" w:rsidRDefault="002839CD" w:rsidP="002839CD">
      <w:pPr>
        <w:pStyle w:val="a3"/>
        <w:spacing w:after="0" w:line="360" w:lineRule="auto"/>
        <w:ind w:left="360"/>
        <w:jc w:val="both"/>
        <w:rPr>
          <w:rFonts w:ascii="David" w:hAnsi="David" w:cs="David"/>
          <w:sz w:val="24"/>
          <w:szCs w:val="24"/>
          <w:rtl/>
        </w:rPr>
      </w:pPr>
      <w:r>
        <w:rPr>
          <w:rFonts w:ascii="David" w:hAnsi="David" w:cs="David" w:hint="cs"/>
          <w:sz w:val="24"/>
          <w:szCs w:val="24"/>
          <w:rtl/>
        </w:rPr>
        <w:t xml:space="preserve">אמנם נטען על ידי המשיבים בתצהיריהם שרשויות הרווחה חדלו כלפיהם ומנעו מהם את זכויותיהם הדיוניות ואולם דומה שגם בכך כיוונו בעיקר לטענתם שהרווחה לא בחנה את קרובי המשיבה לשמש כאומנה ולא נטען שנמנעה מהם האפשרות לגדל את הקטינה בעצמם על אף מסוגלותם ועל אף רצונם. </w:t>
      </w:r>
    </w:p>
    <w:p w:rsidR="002839CD" w:rsidRDefault="002839CD" w:rsidP="002839CD">
      <w:pPr>
        <w:pStyle w:val="a3"/>
        <w:spacing w:after="0" w:line="360" w:lineRule="auto"/>
        <w:ind w:left="360"/>
        <w:jc w:val="both"/>
        <w:rPr>
          <w:rFonts w:ascii="David" w:hAnsi="David" w:cs="David"/>
          <w:sz w:val="24"/>
          <w:szCs w:val="24"/>
        </w:rPr>
      </w:pPr>
    </w:p>
    <w:p w:rsidR="002839CD" w:rsidRDefault="002839CD" w:rsidP="002839CD">
      <w:pPr>
        <w:pStyle w:val="a3"/>
        <w:numPr>
          <w:ilvl w:val="0"/>
          <w:numId w:val="1"/>
        </w:numPr>
        <w:spacing w:after="0" w:line="360" w:lineRule="auto"/>
        <w:ind w:left="360"/>
        <w:jc w:val="both"/>
        <w:rPr>
          <w:rFonts w:ascii="David" w:hAnsi="David" w:cs="David"/>
          <w:sz w:val="24"/>
          <w:szCs w:val="24"/>
        </w:rPr>
      </w:pPr>
      <w:r w:rsidRPr="002A1DD6">
        <w:rPr>
          <w:rFonts w:ascii="David" w:hAnsi="David" w:cs="David" w:hint="cs"/>
          <w:sz w:val="24"/>
          <w:szCs w:val="24"/>
          <w:rtl/>
        </w:rPr>
        <w:t>גם בני המשפחה של המשיבים שליוו אותם לאחר הלידה במהלך וועדות תכנון טיפול סברו שאין למשיבים את המסוגלות לגדל את הקטינה בעצמם</w:t>
      </w:r>
      <w:r>
        <w:rPr>
          <w:rFonts w:ascii="David" w:hAnsi="David" w:cs="David" w:hint="cs"/>
          <w:sz w:val="24"/>
          <w:szCs w:val="24"/>
          <w:rtl/>
        </w:rPr>
        <w:t xml:space="preserve">. כך בוועדה הראשונה טענה אמה של המשיבה </w:t>
      </w:r>
      <w:r w:rsidRPr="002A1DD6">
        <w:rPr>
          <w:rFonts w:ascii="David" w:hAnsi="David" w:cs="David" w:hint="cs"/>
          <w:sz w:val="24"/>
          <w:szCs w:val="24"/>
          <w:rtl/>
        </w:rPr>
        <w:t>כי נדרש ל</w:t>
      </w:r>
      <w:r>
        <w:rPr>
          <w:rFonts w:ascii="David" w:hAnsi="David" w:cs="David" w:hint="cs"/>
          <w:sz w:val="24"/>
          <w:szCs w:val="24"/>
          <w:rtl/>
        </w:rPr>
        <w:t>משיבים</w:t>
      </w:r>
      <w:r w:rsidRPr="002A1DD6">
        <w:rPr>
          <w:rFonts w:ascii="David" w:hAnsi="David" w:cs="David" w:hint="cs"/>
          <w:sz w:val="24"/>
          <w:szCs w:val="24"/>
          <w:rtl/>
        </w:rPr>
        <w:t xml:space="preserve"> סיוע 24 שעות ביממה שבעה ימים בשבוע</w:t>
      </w:r>
      <w:r>
        <w:rPr>
          <w:rFonts w:ascii="David" w:hAnsi="David" w:cs="David" w:hint="cs"/>
          <w:sz w:val="24"/>
          <w:szCs w:val="24"/>
          <w:rtl/>
        </w:rPr>
        <w:t>. גם בן הדוד של המשיב הציע שהקטינה תשהה אצל אחות המשיב כמה ימים עד שימצאו מטפלת בשכר שתשהה עם המשיבים כל שעות היממה "ותשגיח על התינוקת" (נספח 19).</w:t>
      </w:r>
    </w:p>
    <w:p w:rsidR="002839CD" w:rsidRDefault="002839CD" w:rsidP="002839CD">
      <w:pPr>
        <w:pStyle w:val="a3"/>
        <w:spacing w:after="0" w:line="360" w:lineRule="auto"/>
        <w:ind w:left="360"/>
        <w:jc w:val="both"/>
        <w:rPr>
          <w:rFonts w:ascii="David" w:hAnsi="David" w:cs="David"/>
          <w:sz w:val="24"/>
          <w:szCs w:val="24"/>
        </w:rPr>
      </w:pPr>
    </w:p>
    <w:p w:rsidR="002839CD" w:rsidRPr="00730267" w:rsidRDefault="002839CD" w:rsidP="002839CD">
      <w:pPr>
        <w:pStyle w:val="a3"/>
        <w:numPr>
          <w:ilvl w:val="0"/>
          <w:numId w:val="1"/>
        </w:numPr>
        <w:spacing w:after="0" w:line="360" w:lineRule="auto"/>
        <w:ind w:left="360"/>
        <w:jc w:val="both"/>
        <w:rPr>
          <w:rFonts w:ascii="David" w:hAnsi="David" w:cs="David"/>
          <w:sz w:val="24"/>
          <w:szCs w:val="24"/>
        </w:rPr>
      </w:pPr>
      <w:r w:rsidRPr="00730267">
        <w:rPr>
          <w:rFonts w:ascii="David" w:hAnsi="David" w:cs="David" w:hint="cs"/>
          <w:sz w:val="24"/>
          <w:szCs w:val="24"/>
          <w:rtl/>
        </w:rPr>
        <w:t>בית המשפט לנוער, אשר דן בעניינה של הקטינה עד כה קבע שקיימת עילת נזקקות ועיל</w:t>
      </w:r>
      <w:r>
        <w:rPr>
          <w:rFonts w:ascii="David" w:hAnsi="David" w:cs="David" w:hint="cs"/>
          <w:sz w:val="24"/>
          <w:szCs w:val="24"/>
          <w:rtl/>
        </w:rPr>
        <w:t>ה</w:t>
      </w:r>
      <w:r w:rsidRPr="00730267">
        <w:rPr>
          <w:rFonts w:ascii="David" w:hAnsi="David" w:cs="David" w:hint="cs"/>
          <w:sz w:val="24"/>
          <w:szCs w:val="24"/>
          <w:rtl/>
        </w:rPr>
        <w:t xml:space="preserve"> </w:t>
      </w:r>
      <w:r>
        <w:rPr>
          <w:rFonts w:ascii="David" w:hAnsi="David" w:cs="David" w:hint="cs"/>
          <w:sz w:val="24"/>
          <w:szCs w:val="24"/>
          <w:rtl/>
        </w:rPr>
        <w:t>להוציאה</w:t>
      </w:r>
      <w:r w:rsidRPr="00730267">
        <w:rPr>
          <w:rFonts w:ascii="David" w:hAnsi="David" w:cs="David" w:hint="cs"/>
          <w:sz w:val="24"/>
          <w:szCs w:val="24"/>
          <w:rtl/>
        </w:rPr>
        <w:t xml:space="preserve"> ממשמורת הוריה. בדיון הראשון שהתקיים ביום 12.1.23 בבית המשפט לנוער היו המשיבים מיוצגים לא טענו שהם מסוגלים לטפל בקטינה ולא ביקשו להשיבה לידיהם אלא ביקשו את השמתה באמנת קרובים.</w:t>
      </w:r>
      <w:r>
        <w:rPr>
          <w:rFonts w:ascii="David" w:hAnsi="David" w:cs="David" w:hint="cs"/>
          <w:sz w:val="24"/>
          <w:szCs w:val="24"/>
          <w:rtl/>
        </w:rPr>
        <w:t xml:space="preserve"> </w:t>
      </w:r>
      <w:r w:rsidRPr="00730267">
        <w:rPr>
          <w:rFonts w:ascii="David" w:hAnsi="David" w:cs="David" w:hint="cs"/>
          <w:sz w:val="24"/>
          <w:szCs w:val="24"/>
          <w:rtl/>
        </w:rPr>
        <w:t xml:space="preserve">היות והמשיבים לא טענו בעצמם להשבת הקטינה לידיהם עיקרו של הדיון התנהל בנוגע לחלופת ההשמה (נספח 20). </w:t>
      </w:r>
      <w:r>
        <w:rPr>
          <w:rFonts w:ascii="David" w:hAnsi="David" w:cs="David" w:hint="cs"/>
          <w:sz w:val="24"/>
          <w:szCs w:val="24"/>
          <w:rtl/>
        </w:rPr>
        <w:t xml:space="preserve">ראו גם החלטה מיום 3.8.23 בה נקבע "עד כה לא עלה כלל האפשרות להחזרה למשמורת המשיבה. דברים אלו לצערי לא לחינם לא הוצעו בעבר" (נספח 35). </w:t>
      </w:r>
      <w:r w:rsidRPr="00730267">
        <w:rPr>
          <w:rFonts w:ascii="David" w:hAnsi="David" w:cs="David" w:hint="cs"/>
          <w:sz w:val="24"/>
          <w:szCs w:val="24"/>
          <w:rtl/>
        </w:rPr>
        <w:t xml:space="preserve">המשיבים לא השיגו על החלטות בית המשפט לנוער אשר למעשה קבעו את חוסר מסוגלותם לטפל בקטינה. </w:t>
      </w:r>
      <w:r>
        <w:rPr>
          <w:rFonts w:ascii="David" w:hAnsi="David" w:cs="David" w:hint="cs"/>
          <w:sz w:val="24"/>
          <w:szCs w:val="24"/>
          <w:rtl/>
        </w:rPr>
        <w:t>[</w:t>
      </w:r>
      <w:r w:rsidRPr="00730267">
        <w:rPr>
          <w:rFonts w:ascii="David" w:hAnsi="David" w:cs="David" w:hint="cs"/>
          <w:sz w:val="24"/>
          <w:szCs w:val="24"/>
          <w:rtl/>
        </w:rPr>
        <w:t xml:space="preserve">על רצף קבלת ההחלטות </w:t>
      </w:r>
      <w:r>
        <w:rPr>
          <w:rFonts w:ascii="David" w:hAnsi="David" w:cs="David" w:hint="cs"/>
          <w:sz w:val="24"/>
          <w:szCs w:val="24"/>
          <w:rtl/>
        </w:rPr>
        <w:t xml:space="preserve">הרצוי </w:t>
      </w:r>
      <w:r w:rsidRPr="00730267">
        <w:rPr>
          <w:rFonts w:ascii="David" w:hAnsi="David" w:cs="David" w:hint="cs"/>
          <w:sz w:val="24"/>
          <w:szCs w:val="24"/>
          <w:rtl/>
        </w:rPr>
        <w:t xml:space="preserve">בין בית המשפט לנוער לבית המשפט למשפחה בהליכי אימוץ ראו תיק אימוץ 17/19 </w:t>
      </w:r>
      <w:r w:rsidRPr="00730267">
        <w:rPr>
          <w:rFonts w:ascii="David" w:hAnsi="David" w:cs="David" w:hint="cs"/>
          <w:b/>
          <w:bCs/>
          <w:sz w:val="24"/>
          <w:szCs w:val="24"/>
          <w:rtl/>
        </w:rPr>
        <w:t xml:space="preserve">פלונית נ' היועץ המשפטי לממשלה </w:t>
      </w:r>
      <w:r w:rsidRPr="00730267">
        <w:rPr>
          <w:rFonts w:ascii="David" w:hAnsi="David" w:cs="David" w:hint="cs"/>
          <w:sz w:val="24"/>
          <w:szCs w:val="24"/>
          <w:rtl/>
        </w:rPr>
        <w:t>(פורסם בנבו, 3.12.19)].</w:t>
      </w:r>
    </w:p>
    <w:p w:rsidR="002839CD" w:rsidRPr="00730267" w:rsidRDefault="002839CD" w:rsidP="002839CD">
      <w:pPr>
        <w:pStyle w:val="a3"/>
        <w:spacing w:after="0" w:line="360" w:lineRule="auto"/>
        <w:ind w:left="360"/>
        <w:jc w:val="both"/>
        <w:rPr>
          <w:rFonts w:ascii="David" w:hAnsi="David" w:cs="David"/>
          <w:sz w:val="24"/>
          <w:szCs w:val="24"/>
          <w:rtl/>
        </w:rPr>
      </w:pPr>
    </w:p>
    <w:p w:rsidR="002839CD" w:rsidRDefault="002839CD" w:rsidP="002839CD">
      <w:pPr>
        <w:pStyle w:val="a3"/>
        <w:numPr>
          <w:ilvl w:val="0"/>
          <w:numId w:val="1"/>
        </w:numPr>
        <w:spacing w:after="0" w:line="360" w:lineRule="auto"/>
        <w:ind w:left="360"/>
        <w:jc w:val="both"/>
        <w:rPr>
          <w:rFonts w:ascii="David" w:hAnsi="David" w:cs="David"/>
          <w:sz w:val="24"/>
          <w:szCs w:val="24"/>
        </w:rPr>
      </w:pPr>
      <w:r>
        <w:rPr>
          <w:rFonts w:ascii="David" w:hAnsi="David" w:cs="David" w:hint="cs"/>
          <w:sz w:val="24"/>
          <w:szCs w:val="24"/>
          <w:rtl/>
        </w:rPr>
        <w:t>גם בהליך דכאן לא ביקשו המשיבים להשיב את הקטינה למשמורתם ולא טענו שהם מסוגלים לגדלה. המשיבה אף הצהירה שנדרשת לה שהות של "כמה חודשים של שקט נפשי" בהם תהא הקטינה אצל משפחתה ולאחריהם תוכיח שהיא מסוגלת לגדלה (סעיף 7 לתצהירה) ומכאן נלמדת הסכמתה שלעת הזאת אינה מסוגלת לגדלה. גם בעדותה חזרה על כך שמבקשת שמשפחתה תגדל את הקטינה (עמ' 23 לפרוטוקול). המשיב העיד שתחילה סבר שהם לא יכולים לגדל את הקטינה, וכי מלכתחילה ביקש שמשפחת המשיבה תטפל בה (עמ' 28 לפרוטוקול).</w:t>
      </w:r>
    </w:p>
    <w:p w:rsidR="002839CD" w:rsidRDefault="002839CD" w:rsidP="002839CD">
      <w:pPr>
        <w:pStyle w:val="a3"/>
        <w:numPr>
          <w:ilvl w:val="0"/>
          <w:numId w:val="1"/>
        </w:numPr>
        <w:spacing w:after="0" w:line="360" w:lineRule="auto"/>
        <w:ind w:left="360"/>
        <w:jc w:val="both"/>
        <w:rPr>
          <w:rFonts w:ascii="David" w:hAnsi="David" w:cs="David"/>
          <w:sz w:val="24"/>
          <w:szCs w:val="24"/>
        </w:rPr>
      </w:pPr>
      <w:r>
        <w:rPr>
          <w:rFonts w:ascii="David" w:hAnsi="David" w:cs="David" w:hint="cs"/>
          <w:sz w:val="24"/>
          <w:szCs w:val="24"/>
          <w:rtl/>
        </w:rPr>
        <w:lastRenderedPageBreak/>
        <w:t xml:space="preserve">חוסר המסוגלות ההורי של המשיבה נלמד גם, ולו לכאורה, מהוצאת שני ילדיה מנישואיה הראשונים ממשמורתה בשל חוסר מסוגלותה. </w:t>
      </w:r>
      <w:r w:rsidRPr="007F00B9">
        <w:rPr>
          <w:rFonts w:ascii="David" w:hAnsi="David" w:cs="David" w:hint="cs"/>
          <w:sz w:val="24"/>
          <w:szCs w:val="24"/>
          <w:rtl/>
        </w:rPr>
        <w:t xml:space="preserve">אמנם המסוגלות ההורית אינה נבחנת ביחס לכל ילד שהוא אלא כלפי הילד הספציפי נשוא ההליך על נסיבותיו וצרכיו הייחודיים, ואולם </w:t>
      </w:r>
      <w:r>
        <w:rPr>
          <w:rFonts w:ascii="David" w:hAnsi="David" w:cs="David" w:hint="cs"/>
          <w:sz w:val="24"/>
          <w:szCs w:val="24"/>
          <w:rtl/>
        </w:rPr>
        <w:t>על פי ההלכה הפסוקה אחד הכלים שישתמש בהם בית המשפט לצורך "ניבוי" מסוגלות הורית עתידית הוא ניסיון העבר, שהרי "</w:t>
      </w:r>
      <w:r w:rsidRPr="00730267">
        <w:rPr>
          <w:rFonts w:ascii="Miriam" w:hAnsi="Miriam" w:cs="Miriam"/>
          <w:b/>
          <w:bCs/>
          <w:sz w:val="24"/>
          <w:szCs w:val="24"/>
          <w:rtl/>
        </w:rPr>
        <w:t>ניסיון העבר שופך אור לא רק על ההווה אלא גם על העתיד</w:t>
      </w:r>
      <w:r>
        <w:rPr>
          <w:rFonts w:ascii="David" w:hAnsi="David" w:cs="David" w:hint="cs"/>
          <w:sz w:val="24"/>
          <w:szCs w:val="24"/>
          <w:rtl/>
        </w:rPr>
        <w:t>" [בע"מ 9229/</w:t>
      </w:r>
      <w:r w:rsidRPr="00730267">
        <w:rPr>
          <w:rFonts w:ascii="David" w:hAnsi="David" w:cs="David"/>
          <w:sz w:val="24"/>
          <w:szCs w:val="24"/>
          <w:rtl/>
        </w:rPr>
        <w:t xml:space="preserve">04 </w:t>
      </w:r>
      <w:r w:rsidRPr="00730267">
        <w:rPr>
          <w:rFonts w:ascii="David" w:hAnsi="David" w:cs="David"/>
          <w:b/>
          <w:bCs/>
          <w:sz w:val="24"/>
          <w:szCs w:val="24"/>
          <w:rtl/>
        </w:rPr>
        <w:t>היועץ המשפטי לממשלה נ' פלונית</w:t>
      </w:r>
      <w:r w:rsidRPr="00730267">
        <w:rPr>
          <w:rFonts w:ascii="David" w:hAnsi="David" w:cs="David"/>
          <w:sz w:val="24"/>
          <w:szCs w:val="24"/>
          <w:rtl/>
        </w:rPr>
        <w:t xml:space="preserve"> (פורסם בנבו 10.8.05)];</w:t>
      </w:r>
      <w:r>
        <w:rPr>
          <w:rFonts w:hint="cs"/>
          <w:rtl/>
        </w:rPr>
        <w:t xml:space="preserve"> </w:t>
      </w:r>
      <w:r>
        <w:rPr>
          <w:rFonts w:ascii="David" w:hAnsi="David" w:cs="David" w:hint="cs"/>
          <w:sz w:val="24"/>
          <w:szCs w:val="24"/>
          <w:rtl/>
        </w:rPr>
        <w:t xml:space="preserve">ראו גם בע"מ 7204/10 </w:t>
      </w:r>
      <w:r w:rsidRPr="00730267">
        <w:rPr>
          <w:rFonts w:ascii="David" w:hAnsi="David" w:cs="David" w:hint="cs"/>
          <w:b/>
          <w:bCs/>
          <w:sz w:val="24"/>
          <w:szCs w:val="24"/>
          <w:rtl/>
        </w:rPr>
        <w:t>פלונית נ' היועץ המשפטי לממשלה</w:t>
      </w:r>
      <w:r>
        <w:rPr>
          <w:rFonts w:ascii="David" w:hAnsi="David" w:cs="David" w:hint="cs"/>
          <w:sz w:val="24"/>
          <w:szCs w:val="24"/>
          <w:rtl/>
        </w:rPr>
        <w:t xml:space="preserve"> (פורסם בנבו, 9.8.10)] </w:t>
      </w:r>
      <w:r w:rsidRPr="007F00B9">
        <w:rPr>
          <w:rFonts w:ascii="David" w:hAnsi="David" w:cs="David" w:hint="cs"/>
          <w:sz w:val="24"/>
          <w:szCs w:val="24"/>
          <w:rtl/>
        </w:rPr>
        <w:t xml:space="preserve">. </w:t>
      </w:r>
    </w:p>
    <w:p w:rsidR="002839CD" w:rsidRPr="001A4054" w:rsidRDefault="002839CD" w:rsidP="002839CD">
      <w:pPr>
        <w:pStyle w:val="a3"/>
        <w:spacing w:after="0" w:line="360" w:lineRule="auto"/>
        <w:ind w:left="0"/>
        <w:rPr>
          <w:rFonts w:ascii="David" w:hAnsi="David" w:cs="David"/>
          <w:sz w:val="24"/>
          <w:szCs w:val="24"/>
          <w:rtl/>
        </w:rPr>
      </w:pPr>
    </w:p>
    <w:p w:rsidR="002839CD" w:rsidRDefault="002839CD" w:rsidP="002839CD">
      <w:pPr>
        <w:pStyle w:val="a3"/>
        <w:numPr>
          <w:ilvl w:val="0"/>
          <w:numId w:val="1"/>
        </w:numPr>
        <w:spacing w:after="0" w:line="360" w:lineRule="auto"/>
        <w:ind w:left="360"/>
        <w:jc w:val="both"/>
        <w:rPr>
          <w:rFonts w:ascii="David" w:hAnsi="David" w:cs="David"/>
          <w:sz w:val="24"/>
          <w:szCs w:val="24"/>
        </w:rPr>
      </w:pPr>
      <w:r>
        <w:rPr>
          <w:rFonts w:ascii="David" w:hAnsi="David" w:cs="David" w:hint="cs"/>
          <w:sz w:val="24"/>
          <w:szCs w:val="24"/>
          <w:rtl/>
        </w:rPr>
        <w:t xml:space="preserve">לטענת המשיבים מסוגלותם ניתנת לשיפור בעתיד בעזרת </w:t>
      </w:r>
      <w:r w:rsidRPr="005A291B">
        <w:rPr>
          <w:rFonts w:ascii="David" w:hAnsi="David" w:cs="David" w:hint="cs"/>
          <w:sz w:val="24"/>
          <w:szCs w:val="24"/>
          <w:rtl/>
        </w:rPr>
        <w:t>סיוע כמקובל מרשויות הרווחה</w:t>
      </w:r>
      <w:r>
        <w:rPr>
          <w:rFonts w:ascii="David" w:hAnsi="David" w:cs="David" w:hint="cs"/>
          <w:sz w:val="24"/>
          <w:szCs w:val="24"/>
          <w:rtl/>
        </w:rPr>
        <w:t>, ובעזרת סיוע לו זכאי המשיב ממשרד הביטחון מהיותו נכה צה"ל, ועל כן לא מתקיימים התנאים שביסוד עילת האימוץ הקבועה בהוראת סעיף 13(7) ל</w:t>
      </w:r>
      <w:r w:rsidRPr="000405A2">
        <w:rPr>
          <w:rFonts w:ascii="David" w:hAnsi="David" w:cs="David" w:hint="cs"/>
          <w:b/>
          <w:bCs/>
          <w:sz w:val="24"/>
          <w:szCs w:val="24"/>
          <w:rtl/>
        </w:rPr>
        <w:t>חוק האימוץ</w:t>
      </w:r>
      <w:r>
        <w:rPr>
          <w:rFonts w:ascii="David" w:hAnsi="David" w:cs="David" w:hint="cs"/>
          <w:sz w:val="24"/>
          <w:szCs w:val="24"/>
          <w:rtl/>
        </w:rPr>
        <w:t xml:space="preserve">. </w:t>
      </w:r>
    </w:p>
    <w:p w:rsidR="002839CD" w:rsidRPr="0030703D" w:rsidRDefault="002839CD" w:rsidP="002839CD">
      <w:pPr>
        <w:pStyle w:val="a3"/>
        <w:spacing w:after="0" w:line="360" w:lineRule="auto"/>
        <w:ind w:left="0"/>
        <w:rPr>
          <w:rFonts w:ascii="David" w:hAnsi="David" w:cs="David"/>
          <w:sz w:val="24"/>
          <w:szCs w:val="24"/>
          <w:rtl/>
        </w:rPr>
      </w:pPr>
    </w:p>
    <w:p w:rsidR="002839CD" w:rsidRPr="001261EB" w:rsidRDefault="002839CD" w:rsidP="002839CD">
      <w:pPr>
        <w:pStyle w:val="a3"/>
        <w:numPr>
          <w:ilvl w:val="0"/>
          <w:numId w:val="1"/>
        </w:numPr>
        <w:spacing w:after="0" w:line="360" w:lineRule="auto"/>
        <w:ind w:left="360"/>
        <w:jc w:val="both"/>
        <w:rPr>
          <w:rFonts w:ascii="David" w:hAnsi="David" w:cs="David"/>
          <w:sz w:val="24"/>
          <w:szCs w:val="24"/>
        </w:rPr>
      </w:pPr>
      <w:r w:rsidRPr="001261EB">
        <w:rPr>
          <w:rFonts w:ascii="David" w:hAnsi="David" w:cs="David" w:hint="cs"/>
          <w:sz w:val="24"/>
          <w:szCs w:val="24"/>
          <w:rtl/>
        </w:rPr>
        <w:t>המשיבים סובלים ממחלת נפש כרונית המשפיעה על מצבם במשך שנים. כעולה מהאסמכתאות הרפואיות שצורפו לבקשה המדובר במצב כרוני שעל פניו אין צפי לשינויו בעתיד. כן עולה מהחומר שצורף לבקשה שמצבם הפיזי והנפשי פוגע ביכולותיהם לתפקד באופן עצמאי ועל כן נזקקים המשיבים לסיוע נרחב לצורך תפקודם הבסיסי. המשיבים לא כפרו בטענה שדירתם הייתה במצב הזנחה קשה עד כי התקבלו דיווחים שהדירה מהווה מפגע תבראותי, בין היתר בשל בעלי חיים מתים שנמצאו בדירה ודליפת גז (נספח 19; נספח 17; עמ' 14 לפרוטוקול). גם מבית החולים התקבל דיווח שהחדר היה מוזנח והמשיבה צברה בו בקבוקים למחזור שאספה במהלך אשפוזה.</w:t>
      </w:r>
    </w:p>
    <w:p w:rsidR="002839CD" w:rsidRDefault="002839CD" w:rsidP="002839CD">
      <w:pPr>
        <w:pStyle w:val="a3"/>
        <w:spacing w:after="0" w:line="360" w:lineRule="auto"/>
        <w:ind w:left="360"/>
        <w:jc w:val="both"/>
        <w:rPr>
          <w:rFonts w:ascii="David" w:hAnsi="David" w:cs="David"/>
          <w:sz w:val="24"/>
          <w:szCs w:val="24"/>
        </w:rPr>
      </w:pPr>
      <w:r w:rsidRPr="001261EB">
        <w:rPr>
          <w:rFonts w:ascii="David" w:hAnsi="David" w:cs="David" w:hint="cs"/>
          <w:sz w:val="24"/>
          <w:szCs w:val="24"/>
          <w:rtl/>
        </w:rPr>
        <w:t>המשיבים גם לא כפרו בצורך שלהם בקבלת סיוע ב</w:t>
      </w:r>
      <w:r>
        <w:rPr>
          <w:rFonts w:ascii="David" w:hAnsi="David" w:cs="David" w:hint="cs"/>
          <w:sz w:val="24"/>
          <w:szCs w:val="24"/>
          <w:rtl/>
        </w:rPr>
        <w:t>ניהול משק הבית על כל היבטיו, ובו הדוד של המשיב מסייע בניהול משק הבית מבחינת כלכלית, הוא מיופה כח בחשבון הבנק של המשיב ומעביר למשיב מידי שבוע כספים במזומן לצרכי המחייה.</w:t>
      </w:r>
    </w:p>
    <w:p w:rsidR="002839CD" w:rsidRPr="002839CD" w:rsidRDefault="002839CD" w:rsidP="002839CD">
      <w:pPr>
        <w:pStyle w:val="a3"/>
        <w:spacing w:after="0" w:line="360" w:lineRule="auto"/>
        <w:ind w:left="360"/>
        <w:jc w:val="both"/>
        <w:rPr>
          <w:rFonts w:ascii="David" w:hAnsi="David" w:cs="David"/>
          <w:sz w:val="24"/>
          <w:szCs w:val="24"/>
        </w:rPr>
      </w:pPr>
    </w:p>
    <w:p w:rsidR="002839CD" w:rsidRDefault="002839CD" w:rsidP="002839CD">
      <w:pPr>
        <w:pStyle w:val="a3"/>
        <w:numPr>
          <w:ilvl w:val="0"/>
          <w:numId w:val="1"/>
        </w:numPr>
        <w:spacing w:after="0" w:line="360" w:lineRule="auto"/>
        <w:ind w:left="360"/>
        <w:jc w:val="both"/>
        <w:rPr>
          <w:rFonts w:ascii="David" w:hAnsi="David" w:cs="David"/>
          <w:sz w:val="24"/>
          <w:szCs w:val="24"/>
        </w:rPr>
      </w:pPr>
      <w:r>
        <w:rPr>
          <w:rFonts w:ascii="David" w:hAnsi="David" w:cs="David" w:hint="cs"/>
          <w:sz w:val="24"/>
          <w:szCs w:val="24"/>
          <w:rtl/>
        </w:rPr>
        <w:t>בדו"ח הפסיכוסוציאלי שנערך למשיב ביום 9.11.23 פורט שהמשיב נתמך בעזרה ותיווך של מתאמת שיקום ואיש צוות שיקום. פורט שהמשיב נדרש לתיווך ולתזכורות גם לצורך הקפדה על הטיפול התרופתי לו הוא זקוק ולהגעה למועדון התעסוקתי. עוד פורט שהמשיב מקבל 15 שעות שבועיות של מדריך המגיע לבית ומסייע במענה פרקטי בניהול משק הבית על כל היבטיו, מתאמת השיקום מגיעה לביקור אחת לשבוע "מלווה אותו ומסייעת בכל ענייניו השיקומיים והסוציאליי</w:t>
      </w:r>
      <w:r>
        <w:rPr>
          <w:rFonts w:ascii="David" w:hAnsi="David" w:cs="David" w:hint="eastAsia"/>
          <w:sz w:val="24"/>
          <w:szCs w:val="24"/>
          <w:rtl/>
        </w:rPr>
        <w:t>ם</w:t>
      </w:r>
      <w:r>
        <w:rPr>
          <w:rFonts w:ascii="David" w:hAnsi="David" w:cs="David" w:hint="cs"/>
          <w:sz w:val="24"/>
          <w:szCs w:val="24"/>
          <w:rtl/>
        </w:rPr>
        <w:t xml:space="preserve">" (נספח 11). </w:t>
      </w:r>
      <w:r w:rsidRPr="00CE105E">
        <w:rPr>
          <w:rFonts w:ascii="David" w:hAnsi="David" w:cs="David" w:hint="cs"/>
          <w:sz w:val="24"/>
          <w:szCs w:val="24"/>
          <w:rtl/>
        </w:rPr>
        <w:t>גם המשיבה מקבלת פגישה שבועית עם מתאמת שיקום לצורך מענה בתחום של ניהול תקציב, תפקוד חברתי ותפקוד ביתי. בעקבות אי התמדה בהגעה לפגישות עם מתאמת השיקום הושהה הליווי בחודש 7/23 וחודש בחודש 11/23 בעקבות בקשת המשיבה.</w:t>
      </w:r>
    </w:p>
    <w:p w:rsidR="002839CD" w:rsidRPr="00CE105E" w:rsidRDefault="002839CD" w:rsidP="002839CD">
      <w:pPr>
        <w:pStyle w:val="a3"/>
        <w:numPr>
          <w:ilvl w:val="0"/>
          <w:numId w:val="1"/>
        </w:numPr>
        <w:spacing w:after="0" w:line="360" w:lineRule="auto"/>
        <w:ind w:left="360"/>
        <w:jc w:val="both"/>
        <w:rPr>
          <w:rFonts w:ascii="David" w:hAnsi="David" w:cs="David"/>
          <w:sz w:val="24"/>
          <w:szCs w:val="24"/>
        </w:rPr>
      </w:pPr>
      <w:r>
        <w:rPr>
          <w:rFonts w:ascii="David" w:hAnsi="David" w:cs="David" w:hint="cs"/>
          <w:sz w:val="24"/>
          <w:szCs w:val="24"/>
          <w:rtl/>
        </w:rPr>
        <w:lastRenderedPageBreak/>
        <w:t>מאז לידת הקטינה למשיבים גם קשר הדוק של המחלקה לשירותים חברתיים. כן</w:t>
      </w:r>
      <w:r w:rsidRPr="00CE105E">
        <w:rPr>
          <w:rFonts w:ascii="David" w:hAnsi="David" w:cs="David" w:hint="cs"/>
          <w:sz w:val="24"/>
          <w:szCs w:val="24"/>
          <w:rtl/>
        </w:rPr>
        <w:t xml:space="preserve"> פורט בדו"ח </w:t>
      </w:r>
      <w:r>
        <w:rPr>
          <w:rFonts w:ascii="David" w:hAnsi="David" w:cs="David" w:hint="cs"/>
          <w:sz w:val="24"/>
          <w:szCs w:val="24"/>
          <w:rtl/>
        </w:rPr>
        <w:t xml:space="preserve">הפסיכוסוציאלי מיום 9.11.23 </w:t>
      </w:r>
      <w:r w:rsidRPr="00CE105E">
        <w:rPr>
          <w:rFonts w:ascii="David" w:hAnsi="David" w:cs="David" w:hint="cs"/>
          <w:sz w:val="24"/>
          <w:szCs w:val="24"/>
          <w:rtl/>
        </w:rPr>
        <w:t>שבעקבות לידת הקטינה הורחב הסיוע למשיבים וכך עלה גם הצורך לסייע להם להגיע למפגשים עם הקטינה שהתקיימו בעיר אחרת כששהתה באומנת הקרובים "הזוג התקשה מאוד לשמר באופן אחראי את הביקורים השוטפים שמתקיימים אחת לשבוע. אני כמתאמת השיקום נדרשתי בתחילת הדרך להישאב במירב האנרגיות בהרכבת התכנון לתיאום עם הגורמים הרלוונטיים עד לשלב הביצוע להסעת הזוג"</w:t>
      </w:r>
      <w:r>
        <w:rPr>
          <w:rFonts w:ascii="David" w:hAnsi="David" w:cs="David" w:hint="cs"/>
          <w:sz w:val="24"/>
          <w:szCs w:val="24"/>
          <w:rtl/>
        </w:rPr>
        <w:t xml:space="preserve"> (נספח 11)</w:t>
      </w:r>
      <w:r w:rsidRPr="00CE105E">
        <w:rPr>
          <w:rFonts w:ascii="David" w:hAnsi="David" w:cs="David" w:hint="cs"/>
          <w:sz w:val="24"/>
          <w:szCs w:val="24"/>
          <w:rtl/>
        </w:rPr>
        <w:t>.</w:t>
      </w:r>
    </w:p>
    <w:p w:rsidR="002839CD" w:rsidRPr="0027537E" w:rsidRDefault="002839CD" w:rsidP="002839CD">
      <w:pPr>
        <w:pStyle w:val="a3"/>
        <w:spacing w:after="0" w:line="360" w:lineRule="auto"/>
        <w:ind w:left="0"/>
        <w:rPr>
          <w:rFonts w:ascii="Miriam" w:hAnsi="Miriam" w:cs="Miriam"/>
          <w:b/>
          <w:bCs/>
          <w:sz w:val="24"/>
          <w:szCs w:val="24"/>
          <w:rtl/>
        </w:rPr>
      </w:pPr>
    </w:p>
    <w:p w:rsidR="002839CD" w:rsidRDefault="002839CD" w:rsidP="002839CD">
      <w:pPr>
        <w:pStyle w:val="a3"/>
        <w:numPr>
          <w:ilvl w:val="0"/>
          <w:numId w:val="1"/>
        </w:numPr>
        <w:spacing w:after="0" w:line="360" w:lineRule="auto"/>
        <w:ind w:left="360"/>
        <w:jc w:val="both"/>
        <w:rPr>
          <w:rFonts w:ascii="David" w:hAnsi="David" w:cs="David"/>
          <w:sz w:val="24"/>
          <w:szCs w:val="24"/>
        </w:rPr>
      </w:pPr>
      <w:r>
        <w:rPr>
          <w:rFonts w:ascii="David" w:hAnsi="David" w:cs="David" w:hint="cs"/>
          <w:sz w:val="24"/>
          <w:szCs w:val="24"/>
          <w:rtl/>
        </w:rPr>
        <w:t>המשיבים משתפים פעולה עם הרווחה באופן חלקי ומתקשים לתת אמון בגורמי הטיפול. המשיבה לא שיתפה פעולה עם האבחון הפסיכיאטר</w:t>
      </w:r>
      <w:r>
        <w:rPr>
          <w:rFonts w:ascii="David" w:hAnsi="David" w:cs="David" w:hint="eastAsia"/>
          <w:sz w:val="24"/>
          <w:szCs w:val="24"/>
          <w:rtl/>
        </w:rPr>
        <w:t>י</w:t>
      </w:r>
      <w:r>
        <w:rPr>
          <w:rFonts w:ascii="David" w:hAnsi="David" w:cs="David" w:hint="cs"/>
          <w:sz w:val="24"/>
          <w:szCs w:val="24"/>
          <w:rtl/>
        </w:rPr>
        <w:t xml:space="preserve"> בבית החולים, המשיבים סירבו לאפשר ביקור בית, לא הסכימו תחלה לשתף פעולה עם עריכת אבחון מסוגלות, שיתפו פעולה באופן חלקי עם העו"ס ועם מפגשי ההדרכה (ראו למשל סעיפים 95, 102, 107 ו- 110 בבקשה).</w:t>
      </w:r>
    </w:p>
    <w:p w:rsidR="002839CD" w:rsidRPr="00CE105E" w:rsidRDefault="002839CD" w:rsidP="002839CD">
      <w:pPr>
        <w:pStyle w:val="a3"/>
        <w:rPr>
          <w:rFonts w:ascii="David" w:hAnsi="David" w:cs="David"/>
          <w:sz w:val="24"/>
          <w:szCs w:val="24"/>
          <w:rtl/>
        </w:rPr>
      </w:pPr>
    </w:p>
    <w:p w:rsidR="002839CD" w:rsidRDefault="002839CD" w:rsidP="002839CD">
      <w:pPr>
        <w:pStyle w:val="a3"/>
        <w:numPr>
          <w:ilvl w:val="0"/>
          <w:numId w:val="1"/>
        </w:numPr>
        <w:spacing w:after="0" w:line="360" w:lineRule="auto"/>
        <w:ind w:left="360"/>
        <w:jc w:val="both"/>
        <w:rPr>
          <w:rFonts w:ascii="David" w:hAnsi="David" w:cs="David"/>
          <w:sz w:val="24"/>
          <w:szCs w:val="24"/>
        </w:rPr>
      </w:pPr>
      <w:r w:rsidRPr="00195C44">
        <w:rPr>
          <w:rFonts w:ascii="David" w:hAnsi="David" w:cs="David" w:hint="cs"/>
          <w:sz w:val="24"/>
          <w:szCs w:val="24"/>
          <w:rtl/>
        </w:rPr>
        <w:t xml:space="preserve">מההתרשמות של כל גורמי המקצוע עד כה עולה שהמשיבים זקוקים גם לסיוע ופיקוח רצוף בשהותם עם הקטינה ולא ניתן (למצער לעת הזאת) להותירה </w:t>
      </w:r>
      <w:r>
        <w:rPr>
          <w:rFonts w:ascii="David" w:hAnsi="David" w:cs="David" w:hint="cs"/>
          <w:sz w:val="24"/>
          <w:szCs w:val="24"/>
          <w:rtl/>
        </w:rPr>
        <w:t xml:space="preserve">עמם </w:t>
      </w:r>
      <w:r w:rsidRPr="00195C44">
        <w:rPr>
          <w:rFonts w:ascii="David" w:hAnsi="David" w:cs="David" w:hint="cs"/>
          <w:sz w:val="24"/>
          <w:szCs w:val="24"/>
          <w:rtl/>
        </w:rPr>
        <w:t>לבד, וכי הם לא נתרמו עד כה ממפגשי האינטראקציה וההדרכה בהם שולבו. במפגשים שלהם עם הקטינה במרכז הקשר עלה שהם עסוקים בצרכיהם ולא בצורכי הקטינה</w:t>
      </w:r>
      <w:r>
        <w:rPr>
          <w:rFonts w:ascii="David" w:hAnsi="David" w:cs="David" w:hint="cs"/>
          <w:sz w:val="24"/>
          <w:szCs w:val="24"/>
          <w:rtl/>
        </w:rPr>
        <w:t xml:space="preserve"> ורואים את טובתם</w:t>
      </w:r>
      <w:r w:rsidRPr="00195C44">
        <w:rPr>
          <w:rFonts w:ascii="David" w:hAnsi="David" w:cs="David" w:hint="cs"/>
          <w:sz w:val="24"/>
          <w:szCs w:val="24"/>
          <w:rtl/>
        </w:rPr>
        <w:t xml:space="preserve"> לפני טובת הקטינה</w:t>
      </w:r>
      <w:r>
        <w:rPr>
          <w:rFonts w:ascii="David" w:hAnsi="David" w:cs="David" w:hint="cs"/>
          <w:sz w:val="24"/>
          <w:szCs w:val="24"/>
          <w:rtl/>
        </w:rPr>
        <w:t xml:space="preserve">. כך דרשו למשל </w:t>
      </w:r>
      <w:r w:rsidRPr="00195C44">
        <w:rPr>
          <w:rFonts w:ascii="David" w:hAnsi="David" w:cs="David" w:hint="cs"/>
          <w:sz w:val="24"/>
          <w:szCs w:val="24"/>
          <w:rtl/>
        </w:rPr>
        <w:t xml:space="preserve">שהמפגשים יתקיימו בסביבת מגוריהם ולא בסביבת מגורי הקטינה כדי שהקטינה תעשה את הנסיעה </w:t>
      </w:r>
      <w:r>
        <w:rPr>
          <w:rFonts w:ascii="David" w:hAnsi="David" w:cs="David" w:hint="cs"/>
          <w:sz w:val="24"/>
          <w:szCs w:val="24"/>
          <w:rtl/>
        </w:rPr>
        <w:t>במקומם, והלינו על כך שהקטינה מגיעה עייפה למפגש</w:t>
      </w:r>
      <w:r w:rsidRPr="00195C44">
        <w:rPr>
          <w:rFonts w:ascii="David" w:hAnsi="David" w:cs="David" w:hint="cs"/>
          <w:sz w:val="24"/>
          <w:szCs w:val="24"/>
          <w:rtl/>
        </w:rPr>
        <w:t xml:space="preserve">. </w:t>
      </w:r>
      <w:r>
        <w:rPr>
          <w:rFonts w:ascii="David" w:hAnsi="David" w:cs="David" w:hint="cs"/>
          <w:sz w:val="24"/>
          <w:szCs w:val="24"/>
          <w:rtl/>
        </w:rPr>
        <w:t xml:space="preserve">כן עולה </w:t>
      </w:r>
      <w:r w:rsidRPr="00195C44">
        <w:rPr>
          <w:rFonts w:ascii="David" w:hAnsi="David" w:cs="David" w:hint="cs"/>
          <w:sz w:val="24"/>
          <w:szCs w:val="24"/>
          <w:rtl/>
        </w:rPr>
        <w:t>שגם במהלך המפגשים המשיבים חסרים הערכה ראויה לצורכי הקטינה והם נדרשים ל</w:t>
      </w:r>
      <w:r>
        <w:rPr>
          <w:rFonts w:ascii="David" w:hAnsi="David" w:cs="David" w:hint="cs"/>
          <w:sz w:val="24"/>
          <w:szCs w:val="24"/>
          <w:rtl/>
        </w:rPr>
        <w:t>תיווך ול</w:t>
      </w:r>
      <w:r w:rsidRPr="00195C44">
        <w:rPr>
          <w:rFonts w:ascii="David" w:hAnsi="David" w:cs="David" w:hint="cs"/>
          <w:sz w:val="24"/>
          <w:szCs w:val="24"/>
          <w:rtl/>
        </w:rPr>
        <w:t xml:space="preserve">סיוע רצוף בקיום המפגשים ומומלץ שלא להשאיר את הקטינה איתם לבד. </w:t>
      </w:r>
    </w:p>
    <w:p w:rsidR="002839CD" w:rsidRPr="00195C44" w:rsidRDefault="002839CD" w:rsidP="002839CD">
      <w:pPr>
        <w:pStyle w:val="a3"/>
        <w:spacing w:after="0" w:line="360" w:lineRule="auto"/>
        <w:ind w:left="360"/>
        <w:jc w:val="both"/>
        <w:rPr>
          <w:rFonts w:ascii="David" w:hAnsi="David" w:cs="David"/>
          <w:sz w:val="24"/>
          <w:szCs w:val="24"/>
        </w:rPr>
      </w:pPr>
    </w:p>
    <w:p w:rsidR="002839CD" w:rsidRDefault="002839CD" w:rsidP="002839CD">
      <w:pPr>
        <w:pStyle w:val="a3"/>
        <w:numPr>
          <w:ilvl w:val="0"/>
          <w:numId w:val="1"/>
        </w:numPr>
        <w:spacing w:after="0" w:line="360" w:lineRule="auto"/>
        <w:ind w:left="360"/>
        <w:jc w:val="both"/>
        <w:rPr>
          <w:rFonts w:ascii="Miriam" w:hAnsi="Miriam" w:cs="Miriam"/>
          <w:b/>
          <w:bCs/>
          <w:sz w:val="24"/>
          <w:szCs w:val="24"/>
        </w:rPr>
      </w:pPr>
      <w:r>
        <w:rPr>
          <w:rFonts w:ascii="David" w:hAnsi="David" w:cs="David" w:hint="cs"/>
          <w:sz w:val="24"/>
          <w:szCs w:val="24"/>
          <w:rtl/>
        </w:rPr>
        <w:t>המשיבים הדגישו בסיכומיהם את החשיבות של החלק הרגשי שיקבל קטין מהוריו הביולוגיים גם אם יש הכרח להסתייע בעזרה בתשלום שתגשר על הפער ועל המגבלות של ההורים, גם אם מדובר בסיוע רחב היקף. כזכור, בני משפחת המשיבים המודעים למגבלות תפקודם סברו שלצורך טיפול בקטינה ידרשו המשיבים לקבל סיוע 24 שעות 7 ימים בשבוע וניכר שזו הייתה גם עמדת המשיבים (עמ' 8-9 לפרוטוקול).</w:t>
      </w:r>
      <w:r>
        <w:rPr>
          <w:rFonts w:ascii="Miriam" w:hAnsi="Miriam" w:cs="Miriam" w:hint="cs"/>
          <w:b/>
          <w:bCs/>
          <w:sz w:val="24"/>
          <w:szCs w:val="24"/>
          <w:rtl/>
        </w:rPr>
        <w:t xml:space="preserve"> </w:t>
      </w:r>
      <w:r>
        <w:rPr>
          <w:rFonts w:ascii="David" w:hAnsi="David" w:cs="David" w:hint="cs"/>
          <w:sz w:val="24"/>
          <w:szCs w:val="24"/>
          <w:rtl/>
        </w:rPr>
        <w:t xml:space="preserve">מסופקני אם ניתן לראות עזרה צמודה לכל שעות היממה (בין אם תתקבל מרשויות הסעד, מבני משפחה, או מהעסקת מטפלת בתשלום) כעזרה סבירה כמקובל. חברתי כבוד השופטת מימון התייחסה לכך בספרה: </w:t>
      </w:r>
      <w:r>
        <w:rPr>
          <w:rFonts w:ascii="Miriam" w:hAnsi="Miriam" w:cs="Miriam" w:hint="cs"/>
          <w:b/>
          <w:bCs/>
          <w:sz w:val="24"/>
          <w:szCs w:val="24"/>
          <w:rtl/>
        </w:rPr>
        <w:t xml:space="preserve">"בסעיף 13(7), כשידבר המחוקק על סיוע של רשות הסעד להורה, ציין כי מדובר על סיוע לשיקומו של ההורה. מכאן עולה, כי לכאורה סיוע אשר ישמש רק כ"קביים" ולא יהיה בו כדי לשקם את ההרה, ולהעמידו על רגליו ולהביאו למצב שבו יוכל לטפל בילדו באופן עצמאי, לא יהיה בו </w:t>
      </w:r>
      <w:r>
        <w:rPr>
          <w:rFonts w:ascii="Miriam" w:hAnsi="Miriam" w:cs="Miriam" w:hint="cs"/>
          <w:b/>
          <w:bCs/>
          <w:sz w:val="24"/>
          <w:szCs w:val="24"/>
          <w:rtl/>
        </w:rPr>
        <w:lastRenderedPageBreak/>
        <w:t>כדי לשלול את הוכחת העילה.. הסתמכות על אחר, כמו כן משפחה, לטווח ארוך אשר יהווה תחליף להורה בתפקודו כהורה, אין בו שיקום ההורה..</w:t>
      </w:r>
    </w:p>
    <w:p w:rsidR="002839CD" w:rsidRPr="0027537E" w:rsidRDefault="002839CD" w:rsidP="002839CD">
      <w:pPr>
        <w:pStyle w:val="a3"/>
        <w:spacing w:after="0" w:line="360" w:lineRule="auto"/>
        <w:ind w:left="360"/>
        <w:jc w:val="both"/>
        <w:rPr>
          <w:rFonts w:ascii="David" w:hAnsi="David" w:cs="David"/>
          <w:sz w:val="24"/>
          <w:szCs w:val="24"/>
        </w:rPr>
      </w:pPr>
      <w:r>
        <w:rPr>
          <w:rFonts w:ascii="Miriam" w:hAnsi="Miriam" w:cs="Miriam" w:hint="cs"/>
          <w:b/>
          <w:bCs/>
          <w:sz w:val="24"/>
          <w:szCs w:val="24"/>
          <w:rtl/>
        </w:rPr>
        <w:t xml:space="preserve">אם ההורה זקוק לעזרה של 24 שעות ביממה, על מנת שיהיה מסוגל לטפל בילדו, הרי אין לראותו כמסוגל לטפל בילד. רשויות הסעד הן למעשה המטפלות בו, ולכן אין לראות עזרה כזו כ"עזרה סבירה", וגם לא כ"עזרה המקובלת ברשויות הסעד" </w:t>
      </w:r>
      <w:r>
        <w:rPr>
          <w:rFonts w:ascii="David" w:hAnsi="David" w:cs="David" w:hint="cs"/>
          <w:sz w:val="24"/>
          <w:szCs w:val="24"/>
          <w:rtl/>
        </w:rPr>
        <w:t xml:space="preserve">[נילי מימון, </w:t>
      </w:r>
      <w:r w:rsidRPr="00766A92">
        <w:rPr>
          <w:rFonts w:ascii="David" w:hAnsi="David" w:cs="David" w:hint="cs"/>
          <w:b/>
          <w:bCs/>
          <w:sz w:val="24"/>
          <w:szCs w:val="24"/>
          <w:rtl/>
        </w:rPr>
        <w:t>דיני אימוץ ילדים</w:t>
      </w:r>
      <w:r>
        <w:rPr>
          <w:rFonts w:ascii="David" w:hAnsi="David" w:cs="David" w:hint="cs"/>
          <w:sz w:val="24"/>
          <w:szCs w:val="24"/>
          <w:rtl/>
        </w:rPr>
        <w:t>, תשנ"ד-1994, בעמ' 327].</w:t>
      </w:r>
    </w:p>
    <w:p w:rsidR="002839CD" w:rsidRPr="0027537E" w:rsidRDefault="002839CD" w:rsidP="002839CD">
      <w:pPr>
        <w:pStyle w:val="a3"/>
        <w:spacing w:after="0" w:line="360" w:lineRule="auto"/>
        <w:ind w:left="0"/>
        <w:rPr>
          <w:rFonts w:ascii="David" w:hAnsi="David" w:cs="David"/>
          <w:sz w:val="24"/>
          <w:szCs w:val="24"/>
          <w:rtl/>
        </w:rPr>
      </w:pPr>
    </w:p>
    <w:p w:rsidR="002839CD" w:rsidRPr="00A612A3" w:rsidRDefault="002839CD" w:rsidP="002839CD">
      <w:pPr>
        <w:pStyle w:val="a3"/>
        <w:numPr>
          <w:ilvl w:val="0"/>
          <w:numId w:val="1"/>
        </w:numPr>
        <w:spacing w:after="0" w:line="360" w:lineRule="auto"/>
        <w:ind w:left="360"/>
        <w:jc w:val="both"/>
        <w:rPr>
          <w:rFonts w:ascii="Miriam" w:hAnsi="Miriam" w:cs="Miriam"/>
          <w:b/>
          <w:bCs/>
          <w:sz w:val="24"/>
          <w:szCs w:val="24"/>
        </w:rPr>
      </w:pPr>
      <w:r>
        <w:rPr>
          <w:rFonts w:ascii="David" w:hAnsi="David" w:cs="David" w:hint="cs"/>
          <w:sz w:val="24"/>
          <w:szCs w:val="24"/>
          <w:rtl/>
        </w:rPr>
        <w:t xml:space="preserve">בפסיקה גם נקבע שיש להידרש לשאלה אם בעבר נעזר ההורה ברשויות הסעד לצורך שיקומו. </w:t>
      </w:r>
      <w:r w:rsidRPr="00A612A3">
        <w:rPr>
          <w:rFonts w:ascii="Miriam" w:hAnsi="Miriam" w:cs="Miriam" w:hint="cs"/>
          <w:b/>
          <w:bCs/>
          <w:sz w:val="24"/>
          <w:szCs w:val="24"/>
          <w:rtl/>
        </w:rPr>
        <w:t>"</w:t>
      </w:r>
      <w:r w:rsidRPr="00A612A3">
        <w:rPr>
          <w:rFonts w:ascii="Miriam" w:hAnsi="Miriam" w:cs="Miriam"/>
          <w:b/>
          <w:bCs/>
          <w:sz w:val="24"/>
          <w:szCs w:val="24"/>
          <w:rtl/>
        </w:rPr>
        <w:t xml:space="preserve">בחינת השינוי העתידי האפשרי במסוגלותו ההורית של ההורה הביולוגי אינה מתייחסת לתקופה שגבולותיה פתוחים או פרוצים, אלא לעתיד הנראה לעין. בחינת המסוגלות לפי </w:t>
      </w:r>
      <w:hyperlink r:id="rId7" w:history="1">
        <w:r w:rsidRPr="00A612A3">
          <w:rPr>
            <w:rStyle w:val="Hyperlink"/>
            <w:rFonts w:ascii="Miriam" w:hAnsi="Miriam" w:cs="Miriam"/>
            <w:b/>
            <w:bCs/>
            <w:sz w:val="24"/>
            <w:szCs w:val="24"/>
            <w:rtl/>
          </w:rPr>
          <w:t>סעיף 13(א)(7)</w:t>
        </w:r>
      </w:hyperlink>
      <w:r w:rsidRPr="00A612A3">
        <w:rPr>
          <w:rFonts w:ascii="Miriam" w:hAnsi="Miriam" w:cs="Miriam"/>
          <w:b/>
          <w:bCs/>
          <w:sz w:val="24"/>
          <w:szCs w:val="24"/>
          <w:rtl/>
        </w:rPr>
        <w:t xml:space="preserve"> לחוק האימוץ נעשית מתוך הנחה כי ההורה הביולוגי יקבל לצורך שיקומו "עזרה כלכלית וטיפולית סבירה כמקובל ברשויות הסעד". עם זאת, חשוב לתת את הדעת לכך כי בית משפט זה כבר ציין כי לנתון זה יש לייחס משמעות רק כשבעבר לא נעזר ההורה, בכלל או במידה הראויה והמקובלת, ברשויות הסעד (ראו </w:t>
      </w:r>
      <w:hyperlink r:id="rId8" w:history="1">
        <w:r w:rsidRPr="00A612A3">
          <w:rPr>
            <w:rStyle w:val="Hyperlink"/>
            <w:rFonts w:ascii="Miriam" w:hAnsi="Miriam" w:cs="Miriam"/>
            <w:b/>
            <w:bCs/>
            <w:sz w:val="24"/>
            <w:szCs w:val="24"/>
            <w:rtl/>
          </w:rPr>
          <w:t>ע"א 3554/91</w:t>
        </w:r>
      </w:hyperlink>
      <w:r w:rsidRPr="00A612A3">
        <w:rPr>
          <w:rFonts w:ascii="Miriam" w:hAnsi="Miriam" w:cs="Miriam"/>
          <w:b/>
          <w:bCs/>
          <w:sz w:val="24"/>
          <w:szCs w:val="24"/>
          <w:rtl/>
        </w:rPr>
        <w:t xml:space="preserve"> פלונית נ' היועץ המשפטי לממשלה ([פורסם בנבו], 9.10.1991), פסקה 6 לפסק הדין). כן ניתן להתחשב בעזרה ותמיכה אפשריות מצד גורמים אחרים, כגון בני משפחתו של ההורה הביולוגי, "ובלבד שהמדובר בעזרה ובתמיכה שיש בהן כדי להיטיב את רמת מסוגלותו של ההורה עצמו" (ראו </w:t>
      </w:r>
      <w:hyperlink r:id="rId9" w:history="1">
        <w:r w:rsidRPr="00A612A3">
          <w:rPr>
            <w:rFonts w:ascii="Miriam" w:hAnsi="Miriam" w:cs="Miriam"/>
            <w:b/>
            <w:bCs/>
            <w:sz w:val="24"/>
            <w:szCs w:val="24"/>
            <w:rtl/>
          </w:rPr>
          <w:t>ע"א 3554/91</w:t>
        </w:r>
      </w:hyperlink>
      <w:r w:rsidRPr="00A612A3">
        <w:rPr>
          <w:rFonts w:ascii="Miriam" w:hAnsi="Miriam" w:cs="Miriam"/>
          <w:b/>
          <w:bCs/>
          <w:sz w:val="24"/>
          <w:szCs w:val="24"/>
          <w:rtl/>
        </w:rPr>
        <w:t xml:space="preserve"> הנ"ל, פסקה 6 לפסק הדין)</w:t>
      </w:r>
      <w:r>
        <w:rPr>
          <w:rFonts w:ascii="Miriam" w:hAnsi="Miriam" w:cs="Miriam" w:hint="cs"/>
          <w:b/>
          <w:bCs/>
          <w:sz w:val="24"/>
          <w:szCs w:val="24"/>
          <w:rtl/>
        </w:rPr>
        <w:t>"</w:t>
      </w:r>
      <w:r>
        <w:rPr>
          <w:rFonts w:ascii="David" w:hAnsi="David" w:cs="David" w:hint="cs"/>
          <w:sz w:val="24"/>
          <w:szCs w:val="24"/>
          <w:rtl/>
        </w:rPr>
        <w:t xml:space="preserve"> [דנ"א 1892/11 </w:t>
      </w:r>
      <w:r w:rsidRPr="00A612A3">
        <w:rPr>
          <w:rFonts w:ascii="David" w:hAnsi="David" w:cs="David" w:hint="cs"/>
          <w:b/>
          <w:bCs/>
          <w:sz w:val="24"/>
          <w:szCs w:val="24"/>
          <w:rtl/>
        </w:rPr>
        <w:t>היועץ המשפטי לממשלה נ' פלונית</w:t>
      </w:r>
      <w:r>
        <w:rPr>
          <w:rFonts w:ascii="David" w:hAnsi="David" w:cs="David" w:hint="cs"/>
          <w:sz w:val="24"/>
          <w:szCs w:val="24"/>
          <w:rtl/>
        </w:rPr>
        <w:t xml:space="preserve"> (פורסם בנבו, 22.5.11) בעמ' 428]</w:t>
      </w:r>
      <w:r w:rsidRPr="00A612A3">
        <w:rPr>
          <w:rFonts w:ascii="Miriam" w:hAnsi="Miriam" w:cs="Miriam"/>
          <w:b/>
          <w:bCs/>
          <w:sz w:val="24"/>
          <w:szCs w:val="24"/>
          <w:rtl/>
        </w:rPr>
        <w:t>.</w:t>
      </w:r>
    </w:p>
    <w:p w:rsidR="002839CD" w:rsidRPr="00A612A3" w:rsidRDefault="002839CD" w:rsidP="002839CD">
      <w:pPr>
        <w:pStyle w:val="a3"/>
        <w:spacing w:after="0" w:line="360" w:lineRule="auto"/>
        <w:ind w:left="0"/>
        <w:rPr>
          <w:rFonts w:ascii="Miriam" w:hAnsi="Miriam" w:cs="Miriam"/>
          <w:b/>
          <w:bCs/>
          <w:sz w:val="24"/>
          <w:szCs w:val="24"/>
          <w:rtl/>
        </w:rPr>
      </w:pPr>
    </w:p>
    <w:p w:rsidR="002839CD" w:rsidRPr="00195C44" w:rsidRDefault="002839CD" w:rsidP="002839CD">
      <w:pPr>
        <w:pStyle w:val="a3"/>
        <w:numPr>
          <w:ilvl w:val="0"/>
          <w:numId w:val="1"/>
        </w:numPr>
        <w:spacing w:after="0" w:line="360" w:lineRule="auto"/>
        <w:ind w:left="360"/>
        <w:jc w:val="both"/>
        <w:rPr>
          <w:rFonts w:ascii="David" w:hAnsi="David" w:cs="David"/>
          <w:sz w:val="24"/>
          <w:szCs w:val="24"/>
        </w:rPr>
      </w:pPr>
      <w:r w:rsidRPr="00195C44">
        <w:rPr>
          <w:rFonts w:ascii="David" w:hAnsi="David" w:cs="David" w:hint="cs"/>
          <w:sz w:val="24"/>
          <w:szCs w:val="24"/>
          <w:rtl/>
        </w:rPr>
        <w:t xml:space="preserve">המשיבים חקרו את העו"ס ממושכות בסוגיה אם נערכה הבדיקה עם משרד הביטחון לסיוע אותו זכאי המשיב לקבל כנכה צה"ל. בתגובתם פירטו המשיבים שהם פועלים לבחון את הדברים מול משרד הביטחון  ואולם עד כה לא הומצאה כל אסמכתה לכך שהמשיב זכאי לקבל סיוע נוסף. בדו"ח הפסיכוסוציאלי מיום 9.11.23 פורט הסיוע שמקבל המשיב והודגש שהסיוע הורחב על רקע הולדת הקטינה </w:t>
      </w:r>
      <w:r>
        <w:rPr>
          <w:rFonts w:ascii="David" w:hAnsi="David" w:cs="David" w:hint="cs"/>
          <w:sz w:val="24"/>
          <w:szCs w:val="24"/>
          <w:rtl/>
        </w:rPr>
        <w:t>(</w:t>
      </w:r>
      <w:r w:rsidRPr="00195C44">
        <w:rPr>
          <w:rFonts w:ascii="David" w:hAnsi="David" w:cs="David" w:hint="cs"/>
          <w:sz w:val="24"/>
          <w:szCs w:val="24"/>
          <w:rtl/>
        </w:rPr>
        <w:t xml:space="preserve">נספח 11). מכל מקום, שאלה זו תתברר עד תום במסגרת </w:t>
      </w:r>
      <w:r>
        <w:rPr>
          <w:rFonts w:ascii="David" w:hAnsi="David" w:cs="David" w:hint="cs"/>
          <w:sz w:val="24"/>
          <w:szCs w:val="24"/>
          <w:rtl/>
        </w:rPr>
        <w:t>בקשת</w:t>
      </w:r>
      <w:r w:rsidRPr="00195C44">
        <w:rPr>
          <w:rFonts w:ascii="David" w:hAnsi="David" w:cs="David" w:hint="cs"/>
          <w:sz w:val="24"/>
          <w:szCs w:val="24"/>
          <w:rtl/>
        </w:rPr>
        <w:t xml:space="preserve"> האימוץ ותבחן כאמור הסוגיה אם בעזרת הסיוע מרשויות הרווחה וממשרד הביטחון (אם אכן זכאי המשיב לסיוע נוסף) ניתן יהא לבחון תכנית מתאימה שתאפשר למשיבים לגדל את הקטינה.</w:t>
      </w:r>
    </w:p>
    <w:p w:rsidR="002839CD" w:rsidRDefault="002839CD" w:rsidP="002839CD">
      <w:pPr>
        <w:pStyle w:val="a3"/>
        <w:spacing w:after="0" w:line="360" w:lineRule="auto"/>
        <w:ind w:left="0"/>
        <w:rPr>
          <w:rFonts w:ascii="David" w:hAnsi="David" w:cs="David"/>
          <w:sz w:val="24"/>
          <w:szCs w:val="24"/>
          <w:rtl/>
        </w:rPr>
      </w:pPr>
    </w:p>
    <w:p w:rsidR="002839CD" w:rsidRPr="0030703D" w:rsidRDefault="002839CD" w:rsidP="002839CD">
      <w:pPr>
        <w:pStyle w:val="a3"/>
        <w:spacing w:after="0" w:line="360" w:lineRule="auto"/>
        <w:ind w:left="0"/>
        <w:rPr>
          <w:rFonts w:ascii="David" w:hAnsi="David" w:cs="David"/>
          <w:sz w:val="24"/>
          <w:szCs w:val="24"/>
          <w:rtl/>
        </w:rPr>
      </w:pPr>
    </w:p>
    <w:p w:rsidR="002839CD" w:rsidRPr="00195C44" w:rsidRDefault="002839CD" w:rsidP="002839CD">
      <w:pPr>
        <w:pStyle w:val="a3"/>
        <w:numPr>
          <w:ilvl w:val="0"/>
          <w:numId w:val="1"/>
        </w:numPr>
        <w:spacing w:after="0" w:line="360" w:lineRule="auto"/>
        <w:ind w:left="360"/>
        <w:jc w:val="both"/>
        <w:rPr>
          <w:rFonts w:ascii="David" w:hAnsi="David" w:cs="David"/>
          <w:sz w:val="24"/>
          <w:szCs w:val="24"/>
          <w:rtl/>
        </w:rPr>
      </w:pPr>
      <w:r w:rsidRPr="00195C44">
        <w:rPr>
          <w:rFonts w:ascii="David" w:hAnsi="David" w:cs="David" w:hint="cs"/>
          <w:sz w:val="24"/>
          <w:szCs w:val="24"/>
          <w:rtl/>
        </w:rPr>
        <w:lastRenderedPageBreak/>
        <w:t xml:space="preserve">גם לצורך בחינת השאלה אם יש סיכוי לשיקום המשיבים כלפי הקטינה בעזרה טיפולית וכלכלית סבירה בעתיד הנראה לעין (כדרישת סעיף 13 (7) </w:t>
      </w:r>
      <w:r w:rsidRPr="00240404">
        <w:rPr>
          <w:rFonts w:ascii="David" w:hAnsi="David" w:cs="David" w:hint="cs"/>
          <w:b/>
          <w:bCs/>
          <w:sz w:val="24"/>
          <w:szCs w:val="24"/>
          <w:rtl/>
        </w:rPr>
        <w:t>לחוק האימוץ</w:t>
      </w:r>
      <w:r w:rsidRPr="00195C44">
        <w:rPr>
          <w:rFonts w:ascii="David" w:hAnsi="David" w:cs="David" w:hint="cs"/>
          <w:sz w:val="24"/>
          <w:szCs w:val="24"/>
          <w:rtl/>
        </w:rPr>
        <w:t xml:space="preserve">) ככלל נעזר בית המשפט במומחים כדי לנבא את העתיד ובתוך כך גם את השאלה מה משך הזמן לשינוי כזה והאם הילד יוכל לחכות עד למועד הנחזה. סבורתני, כפי שיפורט להלן, שבענייננו יגרם נזק לקטינה אם לא תוצא מאומנת החירום בהמתנה לבירור שאלות אלה. לעת הזאת, המשיבים זקוקים לטיפול וסיוע </w:t>
      </w:r>
      <w:r>
        <w:rPr>
          <w:rFonts w:ascii="David" w:hAnsi="David" w:cs="David" w:hint="cs"/>
          <w:sz w:val="24"/>
          <w:szCs w:val="24"/>
          <w:rtl/>
        </w:rPr>
        <w:t xml:space="preserve">רחב </w:t>
      </w:r>
      <w:r w:rsidRPr="00195C44">
        <w:rPr>
          <w:rFonts w:ascii="David" w:hAnsi="David" w:cs="David" w:hint="cs"/>
          <w:sz w:val="24"/>
          <w:szCs w:val="24"/>
          <w:rtl/>
        </w:rPr>
        <w:t>עבור עצמם</w:t>
      </w:r>
      <w:r>
        <w:rPr>
          <w:rFonts w:ascii="David" w:hAnsi="David" w:cs="David" w:hint="cs"/>
          <w:sz w:val="24"/>
          <w:szCs w:val="24"/>
          <w:rtl/>
        </w:rPr>
        <w:t>,</w:t>
      </w:r>
      <w:r w:rsidRPr="00195C44">
        <w:rPr>
          <w:rFonts w:ascii="David" w:hAnsi="David" w:cs="David" w:hint="cs"/>
          <w:sz w:val="24"/>
          <w:szCs w:val="24"/>
          <w:rtl/>
        </w:rPr>
        <w:t xml:space="preserve"> הנדרש כדי לאפשר את תפקודם העצמאי. </w:t>
      </w:r>
      <w:r>
        <w:rPr>
          <w:rFonts w:ascii="David" w:hAnsi="David" w:cs="David" w:hint="cs"/>
          <w:sz w:val="24"/>
          <w:szCs w:val="24"/>
          <w:rtl/>
        </w:rPr>
        <w:t xml:space="preserve">סיוע </w:t>
      </w:r>
      <w:r w:rsidRPr="00195C44">
        <w:rPr>
          <w:rFonts w:ascii="David" w:hAnsi="David" w:cs="David" w:hint="cs"/>
          <w:sz w:val="24"/>
          <w:szCs w:val="24"/>
          <w:rtl/>
        </w:rPr>
        <w:t>אותו הם מקבלים מאז לידת הקטינה וגם לשיטתם על אף קבלתו הוא לא אפשר עד כה ולא מאפשר להם גם כעת לגדל את הקטינה בעצמם, ולא שיפר את תפקודם ההורי. די בכך כדי לשלול, ולו לכאורה לצורך הדין בבקשה דכאן, את האפשרות לשינוי בתפקודם ההורי בעתיד הנראה לעין.</w:t>
      </w:r>
    </w:p>
    <w:p w:rsidR="002839CD" w:rsidRPr="00195C44" w:rsidRDefault="002839CD" w:rsidP="002839CD">
      <w:pPr>
        <w:pStyle w:val="a3"/>
        <w:spacing w:after="0" w:line="360" w:lineRule="auto"/>
        <w:ind w:left="0"/>
        <w:rPr>
          <w:rFonts w:ascii="David" w:hAnsi="David" w:cs="David"/>
          <w:sz w:val="24"/>
          <w:szCs w:val="24"/>
          <w:rtl/>
        </w:rPr>
      </w:pPr>
    </w:p>
    <w:p w:rsidR="002839CD" w:rsidRDefault="002839CD" w:rsidP="002839CD">
      <w:pPr>
        <w:pStyle w:val="a3"/>
        <w:numPr>
          <w:ilvl w:val="0"/>
          <w:numId w:val="1"/>
        </w:numPr>
        <w:spacing w:after="0" w:line="360" w:lineRule="auto"/>
        <w:ind w:left="360"/>
        <w:jc w:val="both"/>
        <w:rPr>
          <w:rFonts w:ascii="David" w:hAnsi="David" w:cs="David"/>
          <w:sz w:val="24"/>
          <w:szCs w:val="24"/>
        </w:rPr>
      </w:pPr>
      <w:r>
        <w:rPr>
          <w:rFonts w:ascii="David" w:hAnsi="David" w:cs="David" w:hint="cs"/>
          <w:sz w:val="24"/>
          <w:szCs w:val="24"/>
          <w:rtl/>
        </w:rPr>
        <w:t>השתכנעתי אפוא בקיומן של ראיות לכאורה השוללות את מסוגלותם ההורית של המשיבים לגדל את הקטינה.</w:t>
      </w:r>
    </w:p>
    <w:p w:rsidR="002839CD" w:rsidRPr="0030703D" w:rsidRDefault="002839CD" w:rsidP="002839CD">
      <w:pPr>
        <w:pStyle w:val="a3"/>
        <w:spacing w:after="0" w:line="360" w:lineRule="auto"/>
        <w:ind w:left="0"/>
        <w:rPr>
          <w:rFonts w:ascii="David" w:hAnsi="David" w:cs="David"/>
          <w:sz w:val="24"/>
          <w:szCs w:val="24"/>
          <w:rtl/>
        </w:rPr>
      </w:pPr>
    </w:p>
    <w:p w:rsidR="002839CD" w:rsidRDefault="002839CD" w:rsidP="002839CD">
      <w:pPr>
        <w:pStyle w:val="a3"/>
        <w:numPr>
          <w:ilvl w:val="0"/>
          <w:numId w:val="1"/>
        </w:numPr>
        <w:spacing w:after="0" w:line="360" w:lineRule="auto"/>
        <w:ind w:left="360"/>
        <w:jc w:val="both"/>
        <w:rPr>
          <w:rFonts w:ascii="David" w:hAnsi="David" w:cs="David"/>
          <w:sz w:val="24"/>
          <w:szCs w:val="24"/>
        </w:rPr>
      </w:pPr>
      <w:r>
        <w:rPr>
          <w:rFonts w:ascii="David" w:hAnsi="David" w:cs="David" w:hint="cs"/>
          <w:sz w:val="24"/>
          <w:szCs w:val="24"/>
          <w:rtl/>
        </w:rPr>
        <w:t xml:space="preserve">כן </w:t>
      </w:r>
      <w:r w:rsidRPr="007F00B9">
        <w:rPr>
          <w:rFonts w:ascii="David" w:hAnsi="David" w:cs="David" w:hint="cs"/>
          <w:sz w:val="24"/>
          <w:szCs w:val="24"/>
          <w:rtl/>
        </w:rPr>
        <w:t>השתכנעתי שהותרת</w:t>
      </w:r>
      <w:r>
        <w:rPr>
          <w:rFonts w:ascii="David" w:hAnsi="David" w:cs="David" w:hint="cs"/>
          <w:sz w:val="24"/>
          <w:szCs w:val="24"/>
          <w:rtl/>
        </w:rPr>
        <w:t xml:space="preserve"> </w:t>
      </w:r>
      <w:r w:rsidRPr="007F00B9">
        <w:rPr>
          <w:rFonts w:ascii="David" w:hAnsi="David" w:cs="David" w:hint="cs"/>
          <w:sz w:val="24"/>
          <w:szCs w:val="24"/>
          <w:rtl/>
        </w:rPr>
        <w:t>ה</w:t>
      </w:r>
      <w:r>
        <w:rPr>
          <w:rFonts w:ascii="David" w:hAnsi="David" w:cs="David" w:hint="cs"/>
          <w:sz w:val="24"/>
          <w:szCs w:val="24"/>
          <w:rtl/>
        </w:rPr>
        <w:t>קטינה</w:t>
      </w:r>
      <w:r w:rsidRPr="007F00B9">
        <w:rPr>
          <w:rFonts w:ascii="David" w:hAnsi="David" w:cs="David" w:hint="cs"/>
          <w:sz w:val="24"/>
          <w:szCs w:val="24"/>
          <w:rtl/>
        </w:rPr>
        <w:t xml:space="preserve"> באומנת החירום עד לתום </w:t>
      </w:r>
      <w:r>
        <w:rPr>
          <w:rFonts w:ascii="David" w:hAnsi="David" w:cs="David" w:hint="cs"/>
          <w:sz w:val="24"/>
          <w:szCs w:val="24"/>
          <w:rtl/>
        </w:rPr>
        <w:t>הדיון בבקשת אימוץ</w:t>
      </w:r>
      <w:r w:rsidRPr="007F00B9">
        <w:rPr>
          <w:rFonts w:ascii="David" w:hAnsi="David" w:cs="David" w:hint="cs"/>
          <w:sz w:val="24"/>
          <w:szCs w:val="24"/>
          <w:rtl/>
        </w:rPr>
        <w:t xml:space="preserve"> ולפסק דין חלוט יגרום לה נזק ועל מנת למזערו יש ל</w:t>
      </w:r>
      <w:r>
        <w:rPr>
          <w:rFonts w:ascii="David" w:hAnsi="David" w:cs="David" w:hint="cs"/>
          <w:sz w:val="24"/>
          <w:szCs w:val="24"/>
          <w:rtl/>
        </w:rPr>
        <w:t xml:space="preserve">סיים </w:t>
      </w:r>
      <w:r w:rsidRPr="007F00B9">
        <w:rPr>
          <w:rFonts w:ascii="David" w:hAnsi="David" w:cs="David" w:hint="cs"/>
          <w:sz w:val="24"/>
          <w:szCs w:val="24"/>
          <w:rtl/>
        </w:rPr>
        <w:t xml:space="preserve">בדחיפות </w:t>
      </w:r>
      <w:r>
        <w:rPr>
          <w:rFonts w:ascii="David" w:hAnsi="David" w:cs="David" w:hint="cs"/>
          <w:sz w:val="24"/>
          <w:szCs w:val="24"/>
          <w:rtl/>
        </w:rPr>
        <w:t>את שהותה באומנת</w:t>
      </w:r>
      <w:r w:rsidRPr="007F00B9">
        <w:rPr>
          <w:rFonts w:ascii="David" w:hAnsi="David" w:cs="David" w:hint="cs"/>
          <w:sz w:val="24"/>
          <w:szCs w:val="24"/>
          <w:rtl/>
        </w:rPr>
        <w:t xml:space="preserve"> החירום.</w:t>
      </w:r>
    </w:p>
    <w:p w:rsidR="002839CD" w:rsidRPr="007F00B9" w:rsidRDefault="002839CD" w:rsidP="002839CD">
      <w:pPr>
        <w:pStyle w:val="a3"/>
        <w:spacing w:after="0" w:line="360" w:lineRule="auto"/>
        <w:ind w:left="0"/>
        <w:rPr>
          <w:rFonts w:ascii="David" w:hAnsi="David" w:cs="David"/>
          <w:sz w:val="24"/>
          <w:szCs w:val="24"/>
          <w:rtl/>
        </w:rPr>
      </w:pPr>
    </w:p>
    <w:p w:rsidR="002839CD" w:rsidRPr="00195C44" w:rsidRDefault="002839CD" w:rsidP="002839CD">
      <w:pPr>
        <w:pStyle w:val="a3"/>
        <w:numPr>
          <w:ilvl w:val="0"/>
          <w:numId w:val="1"/>
        </w:numPr>
        <w:spacing w:after="0" w:line="360" w:lineRule="auto"/>
        <w:ind w:left="360"/>
        <w:jc w:val="both"/>
        <w:rPr>
          <w:rFonts w:ascii="David" w:hAnsi="David" w:cs="David"/>
          <w:sz w:val="24"/>
          <w:szCs w:val="24"/>
          <w:rtl/>
        </w:rPr>
      </w:pPr>
      <w:r w:rsidRPr="00195C44">
        <w:rPr>
          <w:rFonts w:ascii="David" w:hAnsi="David" w:cs="David" w:hint="cs"/>
          <w:sz w:val="24"/>
          <w:szCs w:val="24"/>
          <w:rtl/>
        </w:rPr>
        <w:t xml:space="preserve">לאור המפורט לעיל דומה שאין חולק שאין בידי המשיבים את היכולת לגדל את הקטינה בעצמם בתקופת חיים זו, הראשונית והרגישה של הקטינה, ואף הם אינם סבורים כך. האלטרנטיבה שהציעו המשיבים להותרת הקטינה באומנת החירום אינה ראויה. הוראת סעיף 62 </w:t>
      </w:r>
      <w:r w:rsidRPr="00195C44">
        <w:rPr>
          <w:rFonts w:ascii="David" w:hAnsi="David" w:cs="David" w:hint="cs"/>
          <w:b/>
          <w:bCs/>
          <w:sz w:val="24"/>
          <w:szCs w:val="24"/>
          <w:rtl/>
        </w:rPr>
        <w:t>לחוק אומנה לילדים</w:t>
      </w:r>
      <w:r w:rsidRPr="00195C44">
        <w:rPr>
          <w:rFonts w:ascii="David" w:hAnsi="David" w:cs="David" w:hint="cs"/>
          <w:sz w:val="24"/>
          <w:szCs w:val="24"/>
          <w:rtl/>
        </w:rPr>
        <w:t>, תשע"ו-2016 קובעת שתקופת שהייתו של קטין באומנת חירום לא תעלה על 3 חודשים וניתן להאריכה "</w:t>
      </w:r>
      <w:r w:rsidRPr="00195C44">
        <w:rPr>
          <w:rFonts w:ascii="Miriam" w:hAnsi="Miriam" w:cs="Miriam"/>
          <w:b/>
          <w:bCs/>
          <w:sz w:val="24"/>
          <w:szCs w:val="24"/>
          <w:rtl/>
        </w:rPr>
        <w:t>מטעמים מיוחדים שירשמו</w:t>
      </w:r>
      <w:r w:rsidRPr="00195C44">
        <w:rPr>
          <w:rFonts w:ascii="David" w:hAnsi="David" w:cs="David" w:hint="cs"/>
          <w:sz w:val="24"/>
          <w:szCs w:val="24"/>
          <w:rtl/>
        </w:rPr>
        <w:t>" לתקופה שלא תעלה על 3 חודשים נוספים</w:t>
      </w:r>
      <w:r>
        <w:rPr>
          <w:rFonts w:ascii="David" w:eastAsia="Times New Roman" w:hAnsi="David" w:cs="David" w:hint="cs"/>
          <w:sz w:val="24"/>
          <w:szCs w:val="24"/>
          <w:rtl/>
        </w:rPr>
        <w:t xml:space="preserve">. </w:t>
      </w:r>
      <w:r w:rsidRPr="00195C44">
        <w:rPr>
          <w:rFonts w:ascii="David" w:eastAsia="Times New Roman" w:hAnsi="David" w:cs="David" w:hint="cs"/>
          <w:sz w:val="24"/>
          <w:szCs w:val="24"/>
          <w:rtl/>
        </w:rPr>
        <w:t>אמנת חירום נועדה ליתן מענה בשעת משבר לטווח הקצר. ככלל הותרת קטין באומנת חירום מעבר לזמן הקצוב והנכון עבורו אינה מטיבה עמו נוכח התקשרות משמעותית עם האומנים ובני המשפחה, תחלופת ילדים אחרים וכפועל יוצא חוויה של פרידות חוזרות ונשנות וחוסר יציבות וקושי של פרידה בהמשך.</w:t>
      </w:r>
    </w:p>
    <w:p w:rsidR="002839CD" w:rsidRPr="00540550" w:rsidRDefault="002839CD" w:rsidP="002839CD">
      <w:pPr>
        <w:pStyle w:val="a3"/>
        <w:spacing w:after="0" w:line="360" w:lineRule="auto"/>
        <w:ind w:left="0"/>
        <w:rPr>
          <w:rFonts w:ascii="David" w:hAnsi="David" w:cs="David"/>
          <w:sz w:val="24"/>
          <w:szCs w:val="24"/>
          <w:rtl/>
        </w:rPr>
      </w:pPr>
    </w:p>
    <w:p w:rsidR="002839CD" w:rsidRDefault="002839CD" w:rsidP="002839CD">
      <w:pPr>
        <w:pStyle w:val="a3"/>
        <w:numPr>
          <w:ilvl w:val="0"/>
          <w:numId w:val="1"/>
        </w:numPr>
        <w:spacing w:after="0" w:line="360" w:lineRule="auto"/>
        <w:ind w:left="360"/>
        <w:jc w:val="both"/>
        <w:rPr>
          <w:rFonts w:ascii="David" w:hAnsi="David" w:cs="David"/>
          <w:sz w:val="24"/>
          <w:szCs w:val="24"/>
        </w:rPr>
      </w:pPr>
      <w:r w:rsidRPr="001E22FD">
        <w:rPr>
          <w:rFonts w:ascii="David" w:hAnsi="David" w:cs="David" w:hint="cs"/>
          <w:sz w:val="24"/>
          <w:szCs w:val="24"/>
          <w:rtl/>
        </w:rPr>
        <w:t xml:space="preserve">הקטינה שוהה באומנת החירום כבר למעלה משלושה חודשים מאז השמתה השנייה שם ביום 9.11.23 ובהתאם לשורת הדין יש להוציאה מאומנת החירום. יש לזכור שבהשמתה הראשונה באומנת החירום שהתה הקטינה 6 חודשים בקירוב וכי במצטבר מתוך 13 חודשי חייה שהתה הקטינה למעלה מתשעה חודשים באומנת החירום. לא אך ששורת הדין מחייבת להוציאה מאומנת החירום אלא שמצב זה בעליל פוגע בה. </w:t>
      </w:r>
    </w:p>
    <w:p w:rsidR="002839CD" w:rsidRDefault="002839CD" w:rsidP="002839CD">
      <w:pPr>
        <w:pStyle w:val="a3"/>
        <w:spacing w:after="0" w:line="360" w:lineRule="auto"/>
        <w:ind w:left="360"/>
        <w:jc w:val="both"/>
        <w:rPr>
          <w:rFonts w:ascii="David" w:hAnsi="David" w:cs="David"/>
          <w:sz w:val="24"/>
          <w:szCs w:val="24"/>
        </w:rPr>
      </w:pPr>
    </w:p>
    <w:p w:rsidR="002839CD" w:rsidRPr="001E22FD" w:rsidRDefault="002839CD" w:rsidP="002839CD">
      <w:pPr>
        <w:pStyle w:val="a3"/>
        <w:numPr>
          <w:ilvl w:val="0"/>
          <w:numId w:val="1"/>
        </w:numPr>
        <w:spacing w:after="0" w:line="360" w:lineRule="auto"/>
        <w:ind w:left="360"/>
        <w:jc w:val="both"/>
        <w:rPr>
          <w:rFonts w:ascii="David" w:hAnsi="David" w:cs="David"/>
          <w:sz w:val="24"/>
          <w:szCs w:val="24"/>
        </w:rPr>
      </w:pPr>
      <w:r w:rsidRPr="001E22FD">
        <w:rPr>
          <w:rFonts w:ascii="David" w:hAnsi="David" w:cs="David" w:hint="cs"/>
          <w:sz w:val="24"/>
          <w:szCs w:val="24"/>
          <w:rtl/>
        </w:rPr>
        <w:lastRenderedPageBreak/>
        <w:t xml:space="preserve">אינני מקבלת את טענת המשיבים להעדר דחיפות להוצאת הקטינה מאומנת החירום. הדחיפות אינה תוצאה של אירוע מסוים אלא עצם מצבה של הקטינה בגילה הרך שהטלטלה בין ארבע </w:t>
      </w:r>
      <w:r>
        <w:rPr>
          <w:rFonts w:ascii="David" w:hAnsi="David" w:cs="David" w:hint="cs"/>
          <w:sz w:val="24"/>
          <w:szCs w:val="24"/>
          <w:rtl/>
        </w:rPr>
        <w:t>מסגרות</w:t>
      </w:r>
      <w:r w:rsidRPr="001E22FD">
        <w:rPr>
          <w:rFonts w:ascii="David" w:hAnsi="David" w:cs="David" w:hint="cs"/>
          <w:sz w:val="24"/>
          <w:szCs w:val="24"/>
          <w:rtl/>
        </w:rPr>
        <w:t xml:space="preserve"> בשנת חייה הראשונה, שתחושת הזמן שלה קריטית להמשך התפתחותה הרגשית. אכן, כנטען על ידי המשיבים, כל הילדים בגילה של הקטינה, אשר אינם גדלים עם הוריהם אלא במוסדות, דחוף להעבירם בהקדם ממקום סידור זמני וחירומי למסגרת קבועה. ייחודה של הקטינה בענייננו הוא העבודה שהיא כבר הספיקה בשנת חייה הראשונה להיטלטל בין ארבעה מוסדות (אשפוז סוציאלי; אומנת חירום; אומנת קרובים; ואומנת חירום) בהם גורמים מטפלים מתחלפים ומשתנים ולא זכתה לדמויות התקשרות קבועות ויציבות. לא אך שהקטינה עברה ארבע מסגרות, ולא אך שהיא עברה ארבע מסגרות בתקופה של שנה, אלא שהקטינה היטלטלה בין ארבע במסגרות בתקופת שנת חייה הראשונה ובהוצאתה המידית מאומנת הקרובים בצו חירום גם נמנע ממנה מעבר הדרגתי מביתם לאומנת החירום ונמנע ממנה גם תהליך פרידה. </w:t>
      </w:r>
    </w:p>
    <w:p w:rsidR="002839CD" w:rsidRPr="000D44C4" w:rsidRDefault="002839CD" w:rsidP="002839CD">
      <w:pPr>
        <w:pStyle w:val="a3"/>
        <w:spacing w:after="0" w:line="360" w:lineRule="auto"/>
        <w:ind w:left="0"/>
        <w:rPr>
          <w:rFonts w:ascii="David" w:hAnsi="David" w:cs="David"/>
          <w:sz w:val="24"/>
          <w:szCs w:val="24"/>
          <w:rtl/>
        </w:rPr>
      </w:pPr>
    </w:p>
    <w:p w:rsidR="002839CD" w:rsidRPr="000D44C4" w:rsidRDefault="002839CD" w:rsidP="002839CD">
      <w:pPr>
        <w:pStyle w:val="a3"/>
        <w:numPr>
          <w:ilvl w:val="0"/>
          <w:numId w:val="1"/>
        </w:numPr>
        <w:spacing w:after="0" w:line="360" w:lineRule="auto"/>
        <w:ind w:left="360"/>
        <w:jc w:val="both"/>
        <w:rPr>
          <w:rFonts w:ascii="David" w:hAnsi="David" w:cs="David"/>
          <w:sz w:val="24"/>
          <w:szCs w:val="24"/>
        </w:rPr>
      </w:pPr>
      <w:r w:rsidRPr="000D44C4">
        <w:rPr>
          <w:rFonts w:ascii="David" w:hAnsi="David" w:cs="David" w:hint="cs"/>
          <w:sz w:val="24"/>
          <w:szCs w:val="24"/>
          <w:rtl/>
        </w:rPr>
        <w:t>בתקופת חייה הקצרה לא זכתה הקטינה עד כה לדמויות רצופות המשמשות כהוריה הפסיכולוגיים. רבות נכתב על החשיבות של הקשר הראשוני שנוצר בין פעוט לבין הדמויות המשמשות כהוריו הפסיכולוגיים מאת תחילת חייו (</w:t>
      </w:r>
      <w:r w:rsidRPr="000D44C4">
        <w:rPr>
          <w:rFonts w:ascii="David" w:hAnsi="David" w:cs="David"/>
          <w:sz w:val="24"/>
          <w:szCs w:val="24"/>
        </w:rPr>
        <w:t>attachment</w:t>
      </w:r>
      <w:r w:rsidRPr="000D44C4">
        <w:rPr>
          <w:rFonts w:ascii="David" w:hAnsi="David" w:cs="David" w:hint="cs"/>
          <w:sz w:val="24"/>
          <w:szCs w:val="24"/>
          <w:rtl/>
        </w:rPr>
        <w:t>) וכי כל חבלה (</w:t>
      </w:r>
      <w:r w:rsidRPr="000D44C4">
        <w:rPr>
          <w:rFonts w:ascii="David" w:hAnsi="David" w:cs="David"/>
          <w:sz w:val="24"/>
          <w:szCs w:val="24"/>
        </w:rPr>
        <w:t>disruption</w:t>
      </w:r>
      <w:r w:rsidRPr="000D44C4">
        <w:rPr>
          <w:rFonts w:ascii="David" w:hAnsi="David" w:cs="David" w:hint="cs"/>
          <w:sz w:val="24"/>
          <w:szCs w:val="24"/>
          <w:rtl/>
        </w:rPr>
        <w:t xml:space="preserve">) בקשר הראשוני הזה טומנת בחובה ולו פוטנציאל לנזק רב לקטין ולהיווצרות פסיכופתולוגיות בעלות היבטים שונים במהלך החיים [בע"מ 377/05, </w:t>
      </w:r>
      <w:r w:rsidRPr="000D44C4">
        <w:rPr>
          <w:rFonts w:ascii="David" w:hAnsi="David" w:cs="David" w:hint="cs"/>
          <w:b/>
          <w:bCs/>
          <w:sz w:val="24"/>
          <w:szCs w:val="24"/>
          <w:rtl/>
        </w:rPr>
        <w:t>פלונית ופלוני ההורים המיועדים לאימוץ נ' ההורים הביולוגיים</w:t>
      </w:r>
      <w:r w:rsidRPr="000D44C4">
        <w:rPr>
          <w:rFonts w:ascii="David" w:hAnsi="David" w:cs="David" w:hint="cs"/>
          <w:sz w:val="24"/>
          <w:szCs w:val="24"/>
          <w:rtl/>
        </w:rPr>
        <w:t xml:space="preserve">, פ"ד ס(1) 124, בעמ' 160]. בכל אחת מהמסגרות הוחלפו הדמויות המטפלות, ורק בקשר לאומנת החירום נאמר שהקטינה החלה לבסס התקשרות בטוחה, דמויות שמהן כבר נאלצה להתנתק פעם אחת. מדמויות אלו </w:t>
      </w:r>
      <w:r>
        <w:rPr>
          <w:rFonts w:ascii="David" w:hAnsi="David" w:cs="David" w:hint="cs"/>
          <w:sz w:val="24"/>
          <w:szCs w:val="24"/>
          <w:rtl/>
        </w:rPr>
        <w:t xml:space="preserve">בהכרח </w:t>
      </w:r>
      <w:r w:rsidRPr="000D44C4">
        <w:rPr>
          <w:rFonts w:ascii="David" w:hAnsi="David" w:cs="David" w:hint="cs"/>
          <w:sz w:val="24"/>
          <w:szCs w:val="24"/>
          <w:rtl/>
        </w:rPr>
        <w:t>תאלץ הקטינה להתנתק פעם נוספת</w:t>
      </w:r>
      <w:r>
        <w:rPr>
          <w:rFonts w:ascii="David" w:hAnsi="David" w:cs="David" w:hint="cs"/>
          <w:sz w:val="24"/>
          <w:szCs w:val="24"/>
          <w:rtl/>
        </w:rPr>
        <w:t xml:space="preserve"> </w:t>
      </w:r>
      <w:r w:rsidRPr="000D44C4">
        <w:rPr>
          <w:rFonts w:ascii="David" w:hAnsi="David" w:cs="David" w:hint="cs"/>
          <w:sz w:val="24"/>
          <w:szCs w:val="24"/>
          <w:rtl/>
        </w:rPr>
        <w:t>וככל שתארך תקופת שהותה באומנת החירום הנזק שעשוי להיגרם לה גדול יותר. כמו כן, במהלך השהות באומנת החירום חשופה הקטינה שוב ושוב לפרידות מקטינים שנקלטים לאומנת החירום ועוזבים אותה והיא חשופה שוב ושוב לפרידות מגורמי ההתקשרות. באבחון הפסיכולוגי שנערך לקטינה מיום 4.12.23 הומלץ להעבירה "למסגרת ביתית קבועה המותאמת לצרכיה. בשל גילה הצעיר יש לצמצם את השהות במסגרת ביתית זמנית, כך שתוכל לבסס התקשרות בטוחה למטפלים שיהיו קבועים בחייה ולא זמניים" (נספח 44).</w:t>
      </w:r>
    </w:p>
    <w:p w:rsidR="002839CD" w:rsidRPr="000D44C4" w:rsidRDefault="002839CD" w:rsidP="002839CD">
      <w:pPr>
        <w:pStyle w:val="a3"/>
        <w:spacing w:after="0" w:line="360" w:lineRule="auto"/>
        <w:ind w:left="0"/>
        <w:rPr>
          <w:rFonts w:ascii="David" w:hAnsi="David" w:cs="David"/>
          <w:sz w:val="24"/>
          <w:szCs w:val="24"/>
          <w:rtl/>
        </w:rPr>
      </w:pPr>
    </w:p>
    <w:p w:rsidR="002839CD" w:rsidRDefault="002839CD" w:rsidP="002839CD">
      <w:pPr>
        <w:pStyle w:val="a3"/>
        <w:numPr>
          <w:ilvl w:val="0"/>
          <w:numId w:val="1"/>
        </w:numPr>
        <w:spacing w:after="0" w:line="360" w:lineRule="auto"/>
        <w:ind w:left="360"/>
        <w:jc w:val="both"/>
        <w:rPr>
          <w:rFonts w:ascii="David" w:hAnsi="David" w:cs="David"/>
          <w:sz w:val="24"/>
          <w:szCs w:val="24"/>
        </w:rPr>
      </w:pPr>
      <w:r w:rsidRPr="000D44C4">
        <w:rPr>
          <w:rFonts w:ascii="David" w:hAnsi="David" w:cs="David" w:hint="cs"/>
          <w:sz w:val="24"/>
          <w:szCs w:val="24"/>
          <w:rtl/>
        </w:rPr>
        <w:t>אף אם אניח שאכן מחלת הנפש ממנה סובל המשיב אינה עוברת בתורשה</w:t>
      </w:r>
      <w:r>
        <w:rPr>
          <w:rFonts w:ascii="David" w:hAnsi="David" w:cs="David" w:hint="cs"/>
          <w:sz w:val="24"/>
          <w:szCs w:val="24"/>
          <w:rtl/>
        </w:rPr>
        <w:t xml:space="preserve"> כנטען על ידיו</w:t>
      </w:r>
      <w:r w:rsidRPr="000D44C4">
        <w:rPr>
          <w:rFonts w:ascii="David" w:hAnsi="David" w:cs="David" w:hint="cs"/>
          <w:sz w:val="24"/>
          <w:szCs w:val="24"/>
          <w:rtl/>
        </w:rPr>
        <w:t xml:space="preserve">, הרי שלקטינה מטען גנטי מורכב למצער מצד אמה המשיבה. כמו כן, באבחון הפסיכולוגי שנערך לקטינה בחודש 12/23, ובטרם מלאה לה שנה, נמצא שהיא סובלת מעיכוב התפתחותי בתחום המוטוריקה הגסה של ארבעה חודשים בקירוב. </w:t>
      </w:r>
    </w:p>
    <w:p w:rsidR="002839CD" w:rsidRDefault="002839CD" w:rsidP="002839CD">
      <w:pPr>
        <w:pStyle w:val="a3"/>
        <w:spacing w:after="0" w:line="360" w:lineRule="auto"/>
        <w:ind w:left="360"/>
        <w:jc w:val="both"/>
        <w:rPr>
          <w:rFonts w:ascii="David" w:hAnsi="David" w:cs="David"/>
          <w:sz w:val="24"/>
          <w:szCs w:val="24"/>
        </w:rPr>
      </w:pPr>
      <w:r w:rsidRPr="000D44C4">
        <w:rPr>
          <w:rFonts w:ascii="David" w:hAnsi="David" w:cs="David" w:hint="cs"/>
          <w:sz w:val="24"/>
          <w:szCs w:val="24"/>
          <w:rtl/>
        </w:rPr>
        <w:lastRenderedPageBreak/>
        <w:t>כעולה מהאבחון הפסיכולוגי השיפור שחל מאז שחזרה לאומנת החירום מלמד "כי התנסות לאורך זמן עוזרת לה להגיע להישגים תואמי גיל כך שאין בעיית תפקוד משמעותית אלא צורך בטיפוח</w:t>
      </w:r>
      <w:r>
        <w:rPr>
          <w:rFonts w:ascii="David" w:hAnsi="David" w:cs="David" w:hint="cs"/>
          <w:sz w:val="24"/>
          <w:szCs w:val="24"/>
          <w:rtl/>
        </w:rPr>
        <w:t>"</w:t>
      </w:r>
      <w:r w:rsidRPr="000D44C4">
        <w:rPr>
          <w:rFonts w:ascii="David" w:hAnsi="David" w:cs="David" w:hint="cs"/>
          <w:sz w:val="24"/>
          <w:szCs w:val="24"/>
          <w:rtl/>
        </w:rPr>
        <w:t xml:space="preserve"> (נספח 44). הקטינה זקוקה </w:t>
      </w:r>
      <w:r>
        <w:rPr>
          <w:rFonts w:ascii="David" w:hAnsi="David" w:cs="David" w:hint="cs"/>
          <w:sz w:val="24"/>
          <w:szCs w:val="24"/>
          <w:rtl/>
        </w:rPr>
        <w:t xml:space="preserve">אפוא </w:t>
      </w:r>
      <w:r w:rsidRPr="000D44C4">
        <w:rPr>
          <w:rFonts w:ascii="David" w:hAnsi="David" w:cs="David" w:hint="cs"/>
          <w:sz w:val="24"/>
          <w:szCs w:val="24"/>
          <w:rtl/>
        </w:rPr>
        <w:t xml:space="preserve">למסגרת מגינה ומכילה שתאפשר לה טיפול יציב ועקבי, </w:t>
      </w:r>
      <w:r>
        <w:rPr>
          <w:rFonts w:ascii="David" w:hAnsi="David" w:cs="David" w:hint="cs"/>
          <w:sz w:val="24"/>
          <w:szCs w:val="24"/>
          <w:rtl/>
        </w:rPr>
        <w:t>והוצאתה בדחיפות מאומנת החירום</w:t>
      </w:r>
      <w:r w:rsidRPr="000D44C4">
        <w:rPr>
          <w:rFonts w:ascii="David" w:hAnsi="David" w:cs="David" w:hint="cs"/>
          <w:sz w:val="24"/>
          <w:szCs w:val="24"/>
          <w:rtl/>
        </w:rPr>
        <w:t xml:space="preserve"> תמזער את הנזק שכבר נגרם לה </w:t>
      </w:r>
      <w:r>
        <w:rPr>
          <w:rFonts w:ascii="David" w:hAnsi="David" w:cs="David" w:hint="cs"/>
          <w:sz w:val="24"/>
          <w:szCs w:val="24"/>
          <w:rtl/>
        </w:rPr>
        <w:t>מהמעברים התכופים</w:t>
      </w:r>
      <w:r w:rsidRPr="000D44C4">
        <w:rPr>
          <w:rFonts w:ascii="David" w:hAnsi="David" w:cs="David" w:hint="cs"/>
          <w:sz w:val="24"/>
          <w:szCs w:val="24"/>
          <w:rtl/>
        </w:rPr>
        <w:t xml:space="preserve"> </w:t>
      </w:r>
      <w:r>
        <w:rPr>
          <w:rFonts w:ascii="David" w:hAnsi="David" w:cs="David" w:hint="cs"/>
          <w:sz w:val="24"/>
          <w:szCs w:val="24"/>
          <w:rtl/>
        </w:rPr>
        <w:t>שחוותה בשנת חייה הראשונה</w:t>
      </w:r>
      <w:r w:rsidRPr="000D44C4">
        <w:rPr>
          <w:rFonts w:ascii="David" w:hAnsi="David" w:cs="David" w:hint="cs"/>
          <w:sz w:val="24"/>
          <w:szCs w:val="24"/>
          <w:rtl/>
        </w:rPr>
        <w:t xml:space="preserve">. </w:t>
      </w:r>
    </w:p>
    <w:p w:rsidR="002839CD" w:rsidRDefault="002839CD" w:rsidP="002839CD">
      <w:pPr>
        <w:pStyle w:val="a3"/>
        <w:spacing w:after="0" w:line="360" w:lineRule="auto"/>
        <w:ind w:left="360"/>
        <w:jc w:val="both"/>
        <w:rPr>
          <w:rFonts w:ascii="David" w:hAnsi="David" w:cs="David"/>
          <w:sz w:val="24"/>
          <w:szCs w:val="24"/>
        </w:rPr>
      </w:pPr>
    </w:p>
    <w:p w:rsidR="002839CD" w:rsidRDefault="002839CD" w:rsidP="002839CD">
      <w:pPr>
        <w:pStyle w:val="a3"/>
        <w:numPr>
          <w:ilvl w:val="0"/>
          <w:numId w:val="1"/>
        </w:numPr>
        <w:spacing w:after="0" w:line="360" w:lineRule="auto"/>
        <w:ind w:left="360"/>
        <w:jc w:val="both"/>
        <w:rPr>
          <w:rFonts w:cs="David"/>
          <w:b/>
          <w:bCs/>
          <w:sz w:val="28"/>
          <w:szCs w:val="28"/>
        </w:rPr>
      </w:pPr>
      <w:r>
        <w:rPr>
          <w:rFonts w:ascii="David" w:hAnsi="David" w:cs="David" w:hint="cs"/>
          <w:sz w:val="24"/>
          <w:szCs w:val="24"/>
          <w:rtl/>
        </w:rPr>
        <w:t>בהיבט של טובת הקטינה, בשים לב לגילה הרך, למעברים התכופים שחוותה ולדמויות המטפלות המתחלפות לא אך שלא נמצאים טעמים מיוחדים להמשך שהותה באומנת החירום (כנדרש בסעיף 62 ל</w:t>
      </w:r>
      <w:r w:rsidRPr="001E22FD">
        <w:rPr>
          <w:rFonts w:ascii="David" w:hAnsi="David" w:cs="David" w:hint="cs"/>
          <w:b/>
          <w:bCs/>
          <w:sz w:val="24"/>
          <w:szCs w:val="24"/>
          <w:rtl/>
        </w:rPr>
        <w:t>חוק האומנה</w:t>
      </w:r>
      <w:r>
        <w:rPr>
          <w:rFonts w:ascii="David" w:hAnsi="David" w:cs="David" w:hint="cs"/>
          <w:sz w:val="24"/>
          <w:szCs w:val="24"/>
          <w:rtl/>
        </w:rPr>
        <w:t xml:space="preserve">) כמוצע על ידי המשיבים אלא ניכר שהמשך שהותה שם עלולה לגרום לה נזק. עוד יש לזכור שטרם הוגשה בקשת אימוץ, וממילא יש גם זכות להגשת ערעור לבית המשפט המחוזי ובקשת רשות ערעור לבית המשפט העליון וככל שנבקש להאיץ את ההליכים המדובר בתקופה ארוכה שככל שתמשך נחשפת הקטינה לסיכון גדול יותר שיגרמו לה נזקים רגשיים ופסיכופתולוגיות בעלות היבטים שונים במהלך החיים. </w:t>
      </w:r>
    </w:p>
    <w:p w:rsidR="002839CD" w:rsidRPr="001E22FD" w:rsidRDefault="002839CD" w:rsidP="002839CD">
      <w:pPr>
        <w:pStyle w:val="a3"/>
        <w:spacing w:after="0" w:line="360" w:lineRule="auto"/>
        <w:ind w:left="0"/>
        <w:rPr>
          <w:rFonts w:cs="David"/>
          <w:b/>
          <w:bCs/>
          <w:sz w:val="28"/>
          <w:szCs w:val="28"/>
          <w:rtl/>
        </w:rPr>
      </w:pPr>
    </w:p>
    <w:p w:rsidR="002839CD" w:rsidRDefault="002839CD" w:rsidP="002839CD">
      <w:pPr>
        <w:pStyle w:val="a3"/>
        <w:numPr>
          <w:ilvl w:val="0"/>
          <w:numId w:val="1"/>
        </w:numPr>
        <w:spacing w:after="0" w:line="360" w:lineRule="auto"/>
        <w:ind w:left="360"/>
        <w:jc w:val="both"/>
        <w:rPr>
          <w:rFonts w:cs="David"/>
          <w:b/>
          <w:bCs/>
          <w:sz w:val="28"/>
          <w:szCs w:val="28"/>
        </w:rPr>
      </w:pPr>
      <w:r w:rsidRPr="001E22FD">
        <w:rPr>
          <w:rFonts w:ascii="David" w:hAnsi="David" w:cs="David" w:hint="cs"/>
          <w:sz w:val="24"/>
          <w:szCs w:val="24"/>
          <w:rtl/>
        </w:rPr>
        <w:t>המשיבים הלינו על כך שלא נבדקה אומנת הקרובים כהשמה קבועה וכתוצאה מכך נגרמו לקטינה מעברים תכופים. גם אם אניח שלכתחילה לא היה מקום להעביר את הקטינה לאומנת הקרובים כסידור זמני שעה שהתקבלה קודם לכן המלצה בוועדת תכנון טיפול שיש להחל בהליכי אימוץ (ואינני אומרת כה), הרי שאין הצדקה בשל כך להותיר את הקטינה באומנת החירום כשהשתכנעתי שהמשך שהותה שם פוגעת בה וגורמת לה נזק</w:t>
      </w:r>
      <w:r w:rsidRPr="001E22FD">
        <w:rPr>
          <w:rFonts w:cs="David" w:hint="cs"/>
          <w:sz w:val="24"/>
          <w:szCs w:val="24"/>
          <w:rtl/>
        </w:rPr>
        <w:t>.</w:t>
      </w:r>
    </w:p>
    <w:p w:rsidR="002839CD" w:rsidRPr="001E22FD" w:rsidRDefault="002839CD" w:rsidP="002839CD">
      <w:pPr>
        <w:pStyle w:val="a3"/>
        <w:spacing w:after="0" w:line="360" w:lineRule="auto"/>
        <w:ind w:left="0"/>
        <w:rPr>
          <w:rFonts w:cs="David"/>
          <w:b/>
          <w:bCs/>
          <w:sz w:val="28"/>
          <w:szCs w:val="28"/>
          <w:rtl/>
        </w:rPr>
      </w:pPr>
    </w:p>
    <w:p w:rsidR="002839CD" w:rsidRDefault="002839CD" w:rsidP="002839CD">
      <w:pPr>
        <w:pStyle w:val="a3"/>
        <w:numPr>
          <w:ilvl w:val="0"/>
          <w:numId w:val="1"/>
        </w:numPr>
        <w:spacing w:after="0" w:line="360" w:lineRule="auto"/>
        <w:ind w:left="360"/>
        <w:jc w:val="both"/>
        <w:rPr>
          <w:rFonts w:ascii="David" w:hAnsi="David" w:cs="David"/>
          <w:sz w:val="24"/>
          <w:szCs w:val="24"/>
        </w:rPr>
      </w:pPr>
      <w:r>
        <w:rPr>
          <w:rFonts w:ascii="David" w:hAnsi="David" w:cs="David" w:hint="cs"/>
          <w:sz w:val="24"/>
          <w:szCs w:val="24"/>
          <w:rtl/>
        </w:rPr>
        <w:t xml:space="preserve">לא ניתן לקבל גם את האלטרנטיבה החלופית שהוצעה על ידי המשיבים להעביר את הקטינה למשפחת אומנה בידי אמה של המשיבה או אחותה. נטען על ידי המשיבים שאפשרות זו לא נבחנה כנדרש על ידי ממונה רישוי האומנה. בהתאם להוראת סעיף 23 </w:t>
      </w:r>
      <w:r w:rsidRPr="001E22FD">
        <w:rPr>
          <w:rFonts w:ascii="David" w:hAnsi="David" w:cs="David" w:hint="cs"/>
          <w:b/>
          <w:bCs/>
          <w:sz w:val="24"/>
          <w:szCs w:val="24"/>
          <w:rtl/>
        </w:rPr>
        <w:t>לחוק אומנה לילדים</w:t>
      </w:r>
      <w:r>
        <w:rPr>
          <w:rFonts w:ascii="David" w:hAnsi="David" w:cs="David" w:hint="cs"/>
          <w:sz w:val="24"/>
          <w:szCs w:val="24"/>
          <w:rtl/>
        </w:rPr>
        <w:t xml:space="preserve"> על אדם המבקש לשמש אומן לפנות בעצמו בבקשה לממונה לרישוי אומנה. המשיבים לא פירטו האם הוגשה בקשה כזו על ידי אם המשיבה או אחותה. העו"ס השיבה בחקירתה שהן לא הופנו ביוזמת הרווחה לאור כך שבבית המשפט לנוער נדונה ונדחתה בקשת המשיבים להשמת הקטינה בבית אחות המשיבה (ראו החלטה מיום 2.2.23; נספח 26) ולאור עמדת מפקחת אומנה מחוזית לפיה לא תאושר השמה נוספת בבית משפחת הורי המשיבה, המשמשים אומנת קרובים לילדיה של המשיבה מנישואיה הראשונים, לאור קשיים בתפקודם (נספח 51; עמ' 15 לפרוטוקול).</w:t>
      </w:r>
    </w:p>
    <w:p w:rsidR="002839CD" w:rsidRPr="008B1C83" w:rsidRDefault="002839CD" w:rsidP="002839CD">
      <w:pPr>
        <w:pStyle w:val="a3"/>
        <w:spacing w:after="0" w:line="360" w:lineRule="auto"/>
        <w:ind w:left="0"/>
        <w:rPr>
          <w:rFonts w:ascii="David" w:hAnsi="David" w:cs="David"/>
          <w:sz w:val="24"/>
          <w:szCs w:val="24"/>
          <w:rtl/>
        </w:rPr>
      </w:pPr>
    </w:p>
    <w:p w:rsidR="002839CD" w:rsidRDefault="002839CD" w:rsidP="002839CD">
      <w:pPr>
        <w:pStyle w:val="a3"/>
        <w:numPr>
          <w:ilvl w:val="0"/>
          <w:numId w:val="1"/>
        </w:numPr>
        <w:spacing w:after="0" w:line="360" w:lineRule="auto"/>
        <w:ind w:left="360"/>
        <w:jc w:val="both"/>
        <w:rPr>
          <w:rFonts w:ascii="David" w:hAnsi="David" w:cs="David"/>
          <w:sz w:val="24"/>
          <w:szCs w:val="24"/>
        </w:rPr>
      </w:pPr>
      <w:r>
        <w:rPr>
          <w:rFonts w:ascii="David" w:hAnsi="David" w:cs="David" w:hint="cs"/>
          <w:sz w:val="24"/>
          <w:szCs w:val="24"/>
          <w:rtl/>
        </w:rPr>
        <w:lastRenderedPageBreak/>
        <w:t>כעת יש להידרש לשאלה האם יש להעביר את הקטינה לאומנה זמנית או למשפחת אומנה עם כוונת אימוץ. כנזכר לעיל, ככלל במקרה של מחלוקת בשאלת קיומה של עילת אימוץ בהווה ובסיכוי לשנותה בעתיד הנראה לעין יש להעדיף אומנה זמנית על פני אומנה עם אופק אימוץ. ברם, בענייננו, מצבה של הקטינה והמעברים התכופים שעברה בתקופת חייה הקצרה טובתה מחייבים להימנע מהעברתה למסגרת זמנית נוספת (החמישית במספר) אלא טובתה מחייבת להעבירה למסגרת יציבה, שהביעה כוונה לאמצה, אם תוכרז בת אימוץ.</w:t>
      </w:r>
    </w:p>
    <w:p w:rsidR="002839CD" w:rsidRPr="001E22FD" w:rsidRDefault="002839CD" w:rsidP="002839CD">
      <w:pPr>
        <w:pStyle w:val="a3"/>
        <w:spacing w:after="0" w:line="360" w:lineRule="auto"/>
        <w:ind w:left="0"/>
        <w:rPr>
          <w:rFonts w:ascii="David" w:hAnsi="David" w:cs="David"/>
          <w:sz w:val="24"/>
          <w:szCs w:val="24"/>
          <w:rtl/>
        </w:rPr>
      </w:pPr>
    </w:p>
    <w:p w:rsidR="002839CD" w:rsidRDefault="002839CD" w:rsidP="002839CD">
      <w:pPr>
        <w:pStyle w:val="a3"/>
        <w:numPr>
          <w:ilvl w:val="0"/>
          <w:numId w:val="1"/>
        </w:numPr>
        <w:spacing w:after="0" w:line="360" w:lineRule="auto"/>
        <w:ind w:left="360"/>
        <w:jc w:val="both"/>
        <w:rPr>
          <w:rFonts w:eastAsia="Times New Roman" w:cs="David"/>
          <w:sz w:val="24"/>
          <w:szCs w:val="24"/>
        </w:rPr>
      </w:pPr>
      <w:r w:rsidRPr="001E22FD">
        <w:rPr>
          <w:rFonts w:ascii="David" w:hAnsi="David" w:cs="David"/>
          <w:sz w:val="24"/>
          <w:szCs w:val="24"/>
          <w:rtl/>
        </w:rPr>
        <w:t xml:space="preserve">הוראת סעיף 1ב </w:t>
      </w:r>
      <w:r w:rsidRPr="001E22FD">
        <w:rPr>
          <w:rFonts w:ascii="David" w:hAnsi="David" w:cs="David"/>
          <w:b/>
          <w:bCs/>
          <w:sz w:val="24"/>
          <w:szCs w:val="24"/>
          <w:rtl/>
        </w:rPr>
        <w:t>לחוק האימוץ</w:t>
      </w:r>
      <w:r w:rsidRPr="001E22FD">
        <w:rPr>
          <w:rFonts w:ascii="David" w:hAnsi="David" w:cs="David"/>
          <w:sz w:val="24"/>
          <w:szCs w:val="24"/>
          <w:rtl/>
        </w:rPr>
        <w:t>, שעניינה טובת המאומץ, קובעת שבעת בחינת טובת המאומץ בהחלטות בהליכי אימוץ, יובאו בחשבון, בין היתר, זכותו של המאומץ ליציבות ובכלל זה צמצום העברתו ככל הניתן בין מסגרות או בין משפחות.</w:t>
      </w:r>
      <w:r w:rsidRPr="001E22FD">
        <w:rPr>
          <w:rFonts w:ascii="David" w:hAnsi="David" w:cs="David" w:hint="cs"/>
          <w:sz w:val="24"/>
          <w:szCs w:val="24"/>
          <w:rtl/>
        </w:rPr>
        <w:t xml:space="preserve"> </w:t>
      </w:r>
      <w:r>
        <w:rPr>
          <w:rFonts w:ascii="David" w:hAnsi="David" w:cs="David" w:hint="cs"/>
          <w:sz w:val="24"/>
          <w:szCs w:val="24"/>
          <w:rtl/>
        </w:rPr>
        <w:t>לפיכך, ו</w:t>
      </w:r>
      <w:r w:rsidRPr="001E22FD">
        <w:rPr>
          <w:rFonts w:ascii="David" w:hAnsi="David" w:cs="David" w:hint="cs"/>
          <w:sz w:val="24"/>
          <w:szCs w:val="24"/>
          <w:rtl/>
        </w:rPr>
        <w:t>בהתאם לפסיקה</w:t>
      </w:r>
      <w:r>
        <w:rPr>
          <w:rFonts w:ascii="David" w:hAnsi="David" w:cs="David" w:hint="cs"/>
          <w:sz w:val="24"/>
          <w:szCs w:val="24"/>
          <w:rtl/>
        </w:rPr>
        <w:t>,</w:t>
      </w:r>
      <w:r w:rsidRPr="001E22FD">
        <w:rPr>
          <w:rFonts w:ascii="David" w:hAnsi="David" w:cs="David" w:hint="cs"/>
          <w:sz w:val="24"/>
          <w:szCs w:val="24"/>
          <w:rtl/>
        </w:rPr>
        <w:t xml:space="preserve"> המעברים התכופים של הקטינים בשנת חייה הראשונה מטים את הכף למסירתה למשפחה שהביעה כוונה לאמצה אם תוכרז בת אימוץ, "</w:t>
      </w:r>
      <w:r w:rsidRPr="001E22FD">
        <w:rPr>
          <w:rFonts w:ascii="Miriam" w:hAnsi="Miriam" w:cs="Miriam"/>
          <w:b/>
          <w:bCs/>
          <w:sz w:val="24"/>
          <w:szCs w:val="24"/>
          <w:rtl/>
        </w:rPr>
        <w:t>וזאת במטרה לצמצם עד כמה שניתן את המשך מעבריו ממשפחה למשפחה</w:t>
      </w:r>
      <w:r w:rsidRPr="001E22FD">
        <w:rPr>
          <w:rFonts w:ascii="David" w:hAnsi="David" w:cs="David" w:hint="cs"/>
          <w:sz w:val="24"/>
          <w:szCs w:val="24"/>
          <w:rtl/>
        </w:rPr>
        <w:t xml:space="preserve">" [אימוץ (ב"ש) 37/15 </w:t>
      </w:r>
      <w:r w:rsidRPr="001E22FD">
        <w:rPr>
          <w:rFonts w:ascii="David" w:hAnsi="David" w:cs="David" w:hint="cs"/>
          <w:b/>
          <w:bCs/>
          <w:sz w:val="24"/>
          <w:szCs w:val="24"/>
          <w:rtl/>
        </w:rPr>
        <w:t>ב"כ היועץ המשפטי לממשלה נ' פלונית</w:t>
      </w:r>
      <w:r w:rsidRPr="001E22FD">
        <w:rPr>
          <w:rFonts w:ascii="David" w:hAnsi="David" w:cs="David" w:hint="cs"/>
          <w:sz w:val="24"/>
          <w:szCs w:val="24"/>
          <w:rtl/>
        </w:rPr>
        <w:t xml:space="preserve"> (פורסם בנבו, 28.10.15) סעיף 17]. אביא גם את הדברים בלשונה של חברתי כבוד השופטת </w:t>
      </w:r>
      <w:r>
        <w:rPr>
          <w:rFonts w:ascii="David" w:hAnsi="David" w:cs="David" w:hint="cs"/>
          <w:sz w:val="24"/>
          <w:szCs w:val="24"/>
          <w:rtl/>
        </w:rPr>
        <w:t xml:space="preserve">פאני </w:t>
      </w:r>
      <w:r w:rsidRPr="001E22FD">
        <w:rPr>
          <w:rFonts w:ascii="David" w:hAnsi="David" w:cs="David" w:hint="cs"/>
          <w:sz w:val="24"/>
          <w:szCs w:val="24"/>
          <w:rtl/>
        </w:rPr>
        <w:t>גילת כהן, בפסה"ד אותו הרבו המשיבים להזכיר בתגובתם ובסיכומיהם: "</w:t>
      </w:r>
      <w:r w:rsidRPr="001E22FD">
        <w:rPr>
          <w:rFonts w:ascii="Miriam" w:eastAsia="Times New Roman" w:hAnsi="Miriam" w:cs="Miriam"/>
          <w:b/>
          <w:bCs/>
          <w:sz w:val="24"/>
          <w:szCs w:val="24"/>
          <w:rtl/>
        </w:rPr>
        <w:t>כאמור, באותם מקרים חריגים מאד בהם קיים הכרח בשמירה על טובת הקטין ובמניעת נזק ממשי לשלומו הנפשי והפיזי, להתפתחותו התקינה וכו' כתוצאה מהעברתו מיד אל יד עד שתתקבל הכרעה שיפוטית בבקשה להכריז עליו כבר אימוץ, תיטה הכף לטובת מסירתו למשפחה המתכוונת לאמצו"</w:t>
      </w:r>
      <w:r w:rsidRPr="001E22FD">
        <w:rPr>
          <w:rFonts w:eastAsia="Times New Roman" w:cs="David" w:hint="cs"/>
          <w:sz w:val="24"/>
          <w:szCs w:val="24"/>
          <w:rtl/>
        </w:rPr>
        <w:t xml:space="preserve"> [תיק אימוץ 1/16 </w:t>
      </w:r>
      <w:r w:rsidRPr="001E22FD">
        <w:rPr>
          <w:rFonts w:eastAsia="Times New Roman" w:cs="David" w:hint="cs"/>
          <w:b/>
          <w:bCs/>
          <w:sz w:val="24"/>
          <w:szCs w:val="24"/>
          <w:rtl/>
        </w:rPr>
        <w:t>היועץ המשפטי לממשלה נ' פלונית ופלוני</w:t>
      </w:r>
      <w:r w:rsidRPr="001E22FD">
        <w:rPr>
          <w:rFonts w:eastAsia="Times New Roman" w:cs="David" w:hint="cs"/>
          <w:sz w:val="24"/>
          <w:szCs w:val="24"/>
          <w:rtl/>
        </w:rPr>
        <w:t xml:space="preserve"> (פורסם בנבו, 7.4.16), בסעיף 34].</w:t>
      </w:r>
    </w:p>
    <w:p w:rsidR="002839CD" w:rsidRPr="001E22FD" w:rsidRDefault="002839CD" w:rsidP="002839CD">
      <w:pPr>
        <w:pStyle w:val="a3"/>
        <w:spacing w:after="0" w:line="360" w:lineRule="auto"/>
        <w:ind w:left="0"/>
        <w:rPr>
          <w:rFonts w:eastAsia="Times New Roman" w:cs="David"/>
          <w:sz w:val="24"/>
          <w:szCs w:val="24"/>
          <w:rtl/>
        </w:rPr>
      </w:pPr>
    </w:p>
    <w:p w:rsidR="002839CD" w:rsidRDefault="002839CD" w:rsidP="002839CD">
      <w:pPr>
        <w:pStyle w:val="a3"/>
        <w:numPr>
          <w:ilvl w:val="0"/>
          <w:numId w:val="1"/>
        </w:numPr>
        <w:spacing w:after="0" w:line="360" w:lineRule="auto"/>
        <w:ind w:left="360"/>
        <w:jc w:val="both"/>
        <w:rPr>
          <w:rFonts w:ascii="David" w:hAnsi="David" w:cs="David"/>
          <w:sz w:val="24"/>
          <w:szCs w:val="24"/>
        </w:rPr>
      </w:pPr>
      <w:r>
        <w:rPr>
          <w:rFonts w:ascii="David" w:hAnsi="David" w:cs="David" w:hint="cs"/>
          <w:sz w:val="24"/>
          <w:szCs w:val="24"/>
          <w:rtl/>
        </w:rPr>
        <w:t>גם הקשיים התפתחותיים מהם סובלת הקטינה מהווים לטעמי שיקול לטובת העברתה למשפחה שהסכימה לאמצה, אם תוכרז בת אימוץ, באופן בו תוכל להעניק לקטינה רציפות פיזית, רגשית וטיפולית [ראו אימוץ (ב"ש) 37/15, סעיף 14 לפסק הדין].</w:t>
      </w:r>
    </w:p>
    <w:p w:rsidR="002839CD" w:rsidRPr="008B1C83" w:rsidRDefault="002839CD" w:rsidP="002839CD">
      <w:pPr>
        <w:pStyle w:val="a3"/>
        <w:rPr>
          <w:rFonts w:ascii="David" w:hAnsi="David" w:cs="David"/>
          <w:sz w:val="24"/>
          <w:szCs w:val="24"/>
          <w:rtl/>
        </w:rPr>
      </w:pPr>
    </w:p>
    <w:p w:rsidR="002839CD" w:rsidRDefault="002839CD" w:rsidP="002839CD">
      <w:pPr>
        <w:pStyle w:val="a3"/>
        <w:numPr>
          <w:ilvl w:val="0"/>
          <w:numId w:val="1"/>
        </w:numPr>
        <w:spacing w:after="0" w:line="360" w:lineRule="auto"/>
        <w:ind w:left="360"/>
        <w:jc w:val="both"/>
        <w:rPr>
          <w:rFonts w:ascii="David" w:hAnsi="David" w:cs="David"/>
          <w:sz w:val="24"/>
          <w:szCs w:val="24"/>
        </w:rPr>
      </w:pPr>
      <w:r w:rsidRPr="008B1C83">
        <w:rPr>
          <w:rFonts w:ascii="David" w:hAnsi="David" w:cs="David" w:hint="cs"/>
          <w:sz w:val="24"/>
          <w:szCs w:val="24"/>
          <w:rtl/>
        </w:rPr>
        <w:t>השתכנעתי שהקטינה זקוקה מיידית לדמויות הוריות קבועות ובשלות שיסייעו לה להתגבר על החסכים אליה</w:t>
      </w:r>
      <w:r>
        <w:rPr>
          <w:rFonts w:ascii="David" w:hAnsi="David" w:cs="David" w:hint="cs"/>
          <w:sz w:val="24"/>
          <w:szCs w:val="24"/>
          <w:rtl/>
        </w:rPr>
        <w:t>ם</w:t>
      </w:r>
      <w:r w:rsidRPr="008B1C83">
        <w:rPr>
          <w:rFonts w:ascii="David" w:hAnsi="David" w:cs="David" w:hint="cs"/>
          <w:sz w:val="24"/>
          <w:szCs w:val="24"/>
          <w:rtl/>
        </w:rPr>
        <w:t xml:space="preserve"> נחשפה ולאפשר לה למצות את הפוטנציאל ההתפתחותי שלה בסביבה הורית מטיבה. בהשמת הקטינה באומנה אצל משפחה שהסכימה לאמצה אם תוכרז בת אימוץ תזכה הקטינה (סוף סוף) לרציפות פיזית ורגשית ולהבטחת בריאותה הפיזית והנפשית, וזאת בהתחשב במעברים שנאלצה לעבור עד כה, בעיכובה ההתפתחותי וברקע הגנטי של הקטינה. לאור האמור לעיל סבורתני שלא מתקיימת בשלב זה אלטרנטיבה ראויה לאפשרות של השמת הקטינה במשפחה המיועדת לאמצה ככל שתוכרז בת אימוץ.</w:t>
      </w:r>
    </w:p>
    <w:p w:rsidR="002839CD" w:rsidRPr="008B1C83" w:rsidRDefault="002839CD" w:rsidP="002839CD">
      <w:pPr>
        <w:pStyle w:val="a3"/>
        <w:numPr>
          <w:ilvl w:val="0"/>
          <w:numId w:val="1"/>
        </w:numPr>
        <w:spacing w:after="0" w:line="360" w:lineRule="auto"/>
        <w:ind w:left="360"/>
        <w:jc w:val="both"/>
        <w:rPr>
          <w:rFonts w:ascii="David" w:hAnsi="David" w:cs="David"/>
          <w:sz w:val="24"/>
          <w:szCs w:val="24"/>
          <w:rtl/>
        </w:rPr>
      </w:pPr>
      <w:r w:rsidRPr="008B1C83">
        <w:rPr>
          <w:rFonts w:ascii="David" w:hAnsi="David" w:cs="David" w:hint="cs"/>
          <w:sz w:val="24"/>
          <w:szCs w:val="24"/>
          <w:rtl/>
        </w:rPr>
        <w:lastRenderedPageBreak/>
        <w:t>המשפחה המיועדת לאמץ מודעת לכל התנאים, לרבות כך שיתקיימו מפגשים בין המשיבים לבין הקטינה, ומודעת גם לאפשרות שהקטינה בסופו של יום לא תוכרז בת אימוץ.</w:t>
      </w:r>
    </w:p>
    <w:p w:rsidR="002839CD" w:rsidRDefault="002839CD" w:rsidP="002839CD">
      <w:pPr>
        <w:pStyle w:val="a3"/>
        <w:spacing w:after="0" w:line="360" w:lineRule="auto"/>
        <w:ind w:left="360"/>
        <w:jc w:val="both"/>
        <w:rPr>
          <w:rFonts w:ascii="David" w:hAnsi="David" w:cs="David"/>
          <w:sz w:val="24"/>
          <w:szCs w:val="24"/>
          <w:rtl/>
        </w:rPr>
      </w:pPr>
    </w:p>
    <w:p w:rsidR="002839CD" w:rsidRPr="00195C44" w:rsidRDefault="002839CD" w:rsidP="002839CD">
      <w:pPr>
        <w:pStyle w:val="a3"/>
        <w:numPr>
          <w:ilvl w:val="0"/>
          <w:numId w:val="1"/>
        </w:numPr>
        <w:spacing w:after="0" w:line="360" w:lineRule="auto"/>
        <w:ind w:left="360"/>
        <w:jc w:val="both"/>
        <w:rPr>
          <w:rFonts w:ascii="David" w:hAnsi="David" w:cs="David"/>
          <w:sz w:val="24"/>
          <w:szCs w:val="24"/>
          <w:rtl/>
        </w:rPr>
      </w:pPr>
      <w:r w:rsidRPr="00195C44">
        <w:rPr>
          <w:rFonts w:ascii="David" w:hAnsi="David" w:cs="David" w:hint="cs"/>
          <w:sz w:val="24"/>
          <w:szCs w:val="24"/>
          <w:rtl/>
        </w:rPr>
        <w:t xml:space="preserve">טרם סיום יודגש שבדיון בבקשה לפעול בהתאם להוראת סעיף 12(ג) </w:t>
      </w:r>
      <w:r>
        <w:rPr>
          <w:rFonts w:ascii="David" w:hAnsi="David" w:cs="David" w:hint="cs"/>
          <w:sz w:val="24"/>
          <w:szCs w:val="24"/>
          <w:rtl/>
        </w:rPr>
        <w:t>ל</w:t>
      </w:r>
      <w:r w:rsidRPr="008B1C83">
        <w:rPr>
          <w:rFonts w:ascii="David" w:hAnsi="David" w:cs="David" w:hint="cs"/>
          <w:b/>
          <w:bCs/>
          <w:sz w:val="24"/>
          <w:szCs w:val="24"/>
          <w:rtl/>
        </w:rPr>
        <w:t>חוק האימוץ</w:t>
      </w:r>
      <w:r>
        <w:rPr>
          <w:rFonts w:ascii="David" w:hAnsi="David" w:cs="David" w:hint="cs"/>
          <w:sz w:val="24"/>
          <w:szCs w:val="24"/>
          <w:rtl/>
        </w:rPr>
        <w:t xml:space="preserve"> </w:t>
      </w:r>
      <w:r w:rsidRPr="00195C44">
        <w:rPr>
          <w:rFonts w:ascii="David" w:hAnsi="David" w:cs="David" w:hint="cs"/>
          <w:sz w:val="24"/>
          <w:szCs w:val="24"/>
          <w:rtl/>
        </w:rPr>
        <w:t>על בית המשפט לבדוק את המקרה לגופו, על נסיבותיו המיוחדות אם אין ברירה מבחינת מצבו של הילד המסוים נשוא הדיון אלא להעביר</w:t>
      </w:r>
      <w:r>
        <w:rPr>
          <w:rFonts w:ascii="David" w:hAnsi="David" w:cs="David" w:hint="cs"/>
          <w:sz w:val="24"/>
          <w:szCs w:val="24"/>
          <w:rtl/>
        </w:rPr>
        <w:t>ו</w:t>
      </w:r>
      <w:r w:rsidRPr="00195C44">
        <w:rPr>
          <w:rFonts w:ascii="David" w:hAnsi="David" w:cs="David" w:hint="cs"/>
          <w:sz w:val="24"/>
          <w:szCs w:val="24"/>
          <w:rtl/>
        </w:rPr>
        <w:t xml:space="preserve"> למשפחה שהסכימה לאמצו. בית המשפט לא דן בסוגיה עקרונית או בשאלות של מדיניות חברתית או משפטית. על כן לא מצאתי להידרש לטענות העקרוניות שביקשה להעלות המשיבים בנוגע ל</w:t>
      </w:r>
      <w:r>
        <w:rPr>
          <w:rFonts w:ascii="David" w:hAnsi="David" w:cs="David" w:hint="cs"/>
          <w:sz w:val="24"/>
          <w:szCs w:val="24"/>
          <w:rtl/>
        </w:rPr>
        <w:t>אינטרס הציבורי לאפשר למי שנפגע בשירות צבאי לקיים חיי משפחה ולגדל ילדים (סעיפים 4-5 לתגובה; עמ' 35 לפרוטוקול)</w:t>
      </w:r>
      <w:r w:rsidRPr="00195C44">
        <w:rPr>
          <w:rFonts w:ascii="David" w:hAnsi="David" w:cs="David" w:hint="cs"/>
          <w:sz w:val="24"/>
          <w:szCs w:val="24"/>
          <w:rtl/>
        </w:rPr>
        <w:t>.</w:t>
      </w:r>
    </w:p>
    <w:p w:rsidR="002839CD" w:rsidRDefault="002839CD" w:rsidP="002839CD">
      <w:pPr>
        <w:pStyle w:val="a3"/>
        <w:spacing w:after="0" w:line="360" w:lineRule="auto"/>
        <w:ind w:left="360"/>
        <w:jc w:val="both"/>
        <w:rPr>
          <w:rFonts w:ascii="David" w:hAnsi="David" w:cs="David"/>
          <w:sz w:val="24"/>
          <w:szCs w:val="24"/>
          <w:rtl/>
        </w:rPr>
      </w:pPr>
    </w:p>
    <w:p w:rsidR="002839CD" w:rsidRPr="00195C44" w:rsidRDefault="002839CD" w:rsidP="002839CD">
      <w:pPr>
        <w:pStyle w:val="a3"/>
        <w:numPr>
          <w:ilvl w:val="0"/>
          <w:numId w:val="1"/>
        </w:numPr>
        <w:spacing w:after="0" w:line="360" w:lineRule="auto"/>
        <w:ind w:left="360"/>
        <w:jc w:val="both"/>
        <w:rPr>
          <w:rFonts w:ascii="David" w:hAnsi="David" w:cs="David"/>
          <w:sz w:val="24"/>
          <w:szCs w:val="24"/>
        </w:rPr>
      </w:pPr>
      <w:r>
        <w:rPr>
          <w:rFonts w:ascii="David" w:hAnsi="David" w:cs="David" w:hint="cs"/>
          <w:sz w:val="24"/>
          <w:szCs w:val="24"/>
          <w:rtl/>
        </w:rPr>
        <w:t>השתכנעתי אפוא שמתקיימים התנאים הנדרשים לפי הוראת סעיף 12 (ג) ל</w:t>
      </w:r>
      <w:r w:rsidRPr="008B1C83">
        <w:rPr>
          <w:rFonts w:ascii="David" w:hAnsi="David" w:cs="David" w:hint="cs"/>
          <w:b/>
          <w:bCs/>
          <w:sz w:val="24"/>
          <w:szCs w:val="24"/>
          <w:rtl/>
        </w:rPr>
        <w:t>חוק האימוץ</w:t>
      </w:r>
      <w:r w:rsidRPr="00195C44">
        <w:rPr>
          <w:rFonts w:ascii="David" w:hAnsi="David" w:cs="David"/>
          <w:sz w:val="24"/>
          <w:szCs w:val="24"/>
          <w:rtl/>
        </w:rPr>
        <w:t xml:space="preserve"> לצורך העברת הקטינה למשפחה שהביעה כוונה לאמצה, אם תוכרז בת אימוץ.</w:t>
      </w:r>
    </w:p>
    <w:p w:rsidR="002839CD" w:rsidRPr="008B1C83" w:rsidRDefault="002839CD" w:rsidP="002839CD">
      <w:pPr>
        <w:pStyle w:val="a3"/>
        <w:spacing w:after="0" w:line="360" w:lineRule="auto"/>
        <w:ind w:left="360"/>
        <w:jc w:val="both"/>
        <w:rPr>
          <w:rFonts w:ascii="David" w:hAnsi="David" w:cs="David"/>
          <w:sz w:val="24"/>
          <w:szCs w:val="24"/>
        </w:rPr>
      </w:pPr>
    </w:p>
    <w:p w:rsidR="002839CD" w:rsidRDefault="002839CD" w:rsidP="002839CD">
      <w:pPr>
        <w:pStyle w:val="a3"/>
        <w:numPr>
          <w:ilvl w:val="0"/>
          <w:numId w:val="1"/>
        </w:numPr>
        <w:spacing w:after="0" w:line="360" w:lineRule="auto"/>
        <w:ind w:left="360"/>
        <w:jc w:val="both"/>
        <w:rPr>
          <w:rFonts w:ascii="David" w:hAnsi="David" w:cs="David"/>
          <w:sz w:val="24"/>
          <w:szCs w:val="24"/>
        </w:rPr>
      </w:pPr>
      <w:r w:rsidRPr="008B1C83">
        <w:rPr>
          <w:rFonts w:ascii="David" w:hAnsi="David" w:cs="David"/>
          <w:sz w:val="24"/>
          <w:szCs w:val="24"/>
          <w:rtl/>
        </w:rPr>
        <w:t xml:space="preserve">זה המקום להדגיש כי החלטת בית המשפט לפי </w:t>
      </w:r>
      <w:hyperlink r:id="rId10" w:history="1">
        <w:r w:rsidRPr="008B1C83">
          <w:rPr>
            <w:rFonts w:ascii="David" w:hAnsi="David" w:cs="David"/>
            <w:sz w:val="24"/>
            <w:szCs w:val="24"/>
            <w:rtl/>
          </w:rPr>
          <w:t>סעיף 12(ג)</w:t>
        </w:r>
      </w:hyperlink>
      <w:r w:rsidRPr="008B1C83">
        <w:rPr>
          <w:rFonts w:ascii="David" w:hAnsi="David" w:cs="David"/>
          <w:sz w:val="24"/>
          <w:szCs w:val="24"/>
          <w:rtl/>
        </w:rPr>
        <w:t xml:space="preserve"> ל</w:t>
      </w:r>
      <w:r w:rsidRPr="008B1C83">
        <w:rPr>
          <w:rFonts w:ascii="David" w:hAnsi="David" w:cs="David"/>
          <w:b/>
          <w:bCs/>
          <w:sz w:val="24"/>
          <w:szCs w:val="24"/>
          <w:rtl/>
        </w:rPr>
        <w:t>חוק האימוץ</w:t>
      </w:r>
      <w:r w:rsidRPr="008B1C83">
        <w:rPr>
          <w:rFonts w:ascii="David" w:hAnsi="David" w:cs="David"/>
          <w:sz w:val="24"/>
          <w:szCs w:val="24"/>
          <w:rtl/>
        </w:rPr>
        <w:t xml:space="preserve"> הינה מעצם טבעה "תחנת ביניים" במסגרת ההליך המשפטי הארוך, מכוח חוק הנוער וחוק האימוץ, שבסופו על בית המשפט לקבוע את מקום שהייתו הקבוע של הקטין.</w:t>
      </w:r>
      <w:r>
        <w:rPr>
          <w:rFonts w:ascii="David" w:hAnsi="David" w:cs="David" w:hint="cs"/>
          <w:sz w:val="24"/>
          <w:szCs w:val="24"/>
          <w:rtl/>
        </w:rPr>
        <w:t xml:space="preserve"> </w:t>
      </w:r>
      <w:r w:rsidRPr="008B1C83">
        <w:rPr>
          <w:rFonts w:ascii="David" w:hAnsi="David" w:cs="David"/>
          <w:sz w:val="24"/>
          <w:szCs w:val="24"/>
          <w:rtl/>
        </w:rPr>
        <w:t xml:space="preserve">אין כמובן בהחלטה זו כדי לקבוע מסמרות או למנוע בחינה מדוקדקת של סוגיית המסוגלות ההורית של כל אחד מהמשיבים ביחס לקטינה במסגרת הבקשה שתוגש להכריז עליה בת אימוץ </w:t>
      </w:r>
      <w:r>
        <w:rPr>
          <w:rFonts w:ascii="David" w:hAnsi="David" w:cs="David" w:hint="cs"/>
          <w:sz w:val="24"/>
          <w:szCs w:val="24"/>
          <w:rtl/>
        </w:rPr>
        <w:t>ביחס אלי</w:t>
      </w:r>
      <w:r w:rsidRPr="008B1C83">
        <w:rPr>
          <w:rFonts w:ascii="David" w:hAnsi="David" w:cs="David"/>
          <w:sz w:val="24"/>
          <w:szCs w:val="24"/>
          <w:rtl/>
        </w:rPr>
        <w:t xml:space="preserve">הם. יובהר שלמשיבים תינתן הזדמנות מלאה להוכיח את כל טענותיהם והדברים ייבחנו </w:t>
      </w:r>
      <w:r>
        <w:rPr>
          <w:rFonts w:ascii="David" w:hAnsi="David" w:cs="David" w:hint="cs"/>
          <w:sz w:val="24"/>
          <w:szCs w:val="24"/>
          <w:rtl/>
        </w:rPr>
        <w:t xml:space="preserve">גם </w:t>
      </w:r>
      <w:r w:rsidRPr="008B1C83">
        <w:rPr>
          <w:rFonts w:ascii="David" w:hAnsi="David" w:cs="David"/>
          <w:sz w:val="24"/>
          <w:szCs w:val="24"/>
          <w:rtl/>
        </w:rPr>
        <w:t xml:space="preserve">על ידי מומחה. </w:t>
      </w:r>
    </w:p>
    <w:p w:rsidR="002839CD" w:rsidRPr="00B55FB5" w:rsidRDefault="002839CD" w:rsidP="002839CD">
      <w:pPr>
        <w:pStyle w:val="a3"/>
        <w:rPr>
          <w:rFonts w:ascii="David" w:hAnsi="David" w:cs="David"/>
          <w:sz w:val="24"/>
          <w:szCs w:val="24"/>
          <w:rtl/>
        </w:rPr>
      </w:pPr>
    </w:p>
    <w:p w:rsidR="002839CD" w:rsidRDefault="002839CD" w:rsidP="002839CD">
      <w:pPr>
        <w:pStyle w:val="a3"/>
        <w:numPr>
          <w:ilvl w:val="0"/>
          <w:numId w:val="1"/>
        </w:numPr>
        <w:spacing w:after="0" w:line="360" w:lineRule="auto"/>
        <w:ind w:left="360"/>
        <w:jc w:val="both"/>
        <w:rPr>
          <w:rFonts w:ascii="David" w:hAnsi="David" w:cs="David"/>
          <w:sz w:val="24"/>
          <w:szCs w:val="24"/>
        </w:rPr>
      </w:pPr>
      <w:r>
        <w:rPr>
          <w:rFonts w:ascii="David" w:hAnsi="David" w:cs="David" w:hint="cs"/>
          <w:sz w:val="24"/>
          <w:szCs w:val="24"/>
          <w:rtl/>
        </w:rPr>
        <w:t>לא מצאתי לקבל את בקשת המבקשת ולהורות מראש על הפסקת הביקורים של המשיבים והקטינה בעת העברתה למשפחת אומנה. יש לבחון בזמן אמת על ידי הצוות הטיפולי המכיר את הקטינה אם ניתן להמשיך בביקורים על אף הקליטה במשפחת האומנה כדי ליצור רצף של ביקורים עם המשיבים. כל הפסקה של הביקורים תדרוש דיווח ואישור בית המשפט לכך.</w:t>
      </w:r>
    </w:p>
    <w:p w:rsidR="002839CD" w:rsidRPr="00A56F14" w:rsidRDefault="002839CD" w:rsidP="002839CD">
      <w:pPr>
        <w:pStyle w:val="a3"/>
        <w:spacing w:after="0" w:line="360" w:lineRule="auto"/>
        <w:ind w:left="0"/>
        <w:rPr>
          <w:rFonts w:ascii="David" w:hAnsi="David" w:cs="David"/>
          <w:sz w:val="24"/>
          <w:szCs w:val="24"/>
          <w:rtl/>
        </w:rPr>
      </w:pPr>
    </w:p>
    <w:p w:rsidR="002839CD" w:rsidRDefault="002839CD" w:rsidP="002839CD">
      <w:pPr>
        <w:pStyle w:val="a3"/>
        <w:numPr>
          <w:ilvl w:val="0"/>
          <w:numId w:val="1"/>
        </w:numPr>
        <w:spacing w:after="0" w:line="360" w:lineRule="auto"/>
        <w:ind w:left="360"/>
        <w:jc w:val="both"/>
        <w:rPr>
          <w:rFonts w:ascii="David" w:hAnsi="David" w:cs="David"/>
          <w:sz w:val="24"/>
          <w:szCs w:val="24"/>
        </w:rPr>
      </w:pPr>
      <w:r>
        <w:rPr>
          <w:rFonts w:ascii="David" w:hAnsi="David" w:cs="David" w:hint="cs"/>
          <w:sz w:val="24"/>
          <w:szCs w:val="24"/>
          <w:rtl/>
        </w:rPr>
        <w:t>אשר על כן אני נעתרת לבקשה ומורה על העברת הקטינה למשפחת אומנה שהסכימה לאמצה. היות וטרם הוגשה בקשה להכריז על הקטינה בת אימוץ כלפי המשיבים אני מורה שהעברת הקטינה לא תעשה טרם תוגש הבקשה לבית המשפט ולידי המשיבים.</w:t>
      </w:r>
    </w:p>
    <w:p w:rsidR="002839CD" w:rsidRPr="008B1C83" w:rsidRDefault="002839CD" w:rsidP="002839CD">
      <w:pPr>
        <w:pStyle w:val="a3"/>
        <w:rPr>
          <w:rFonts w:ascii="David" w:hAnsi="David" w:cs="David"/>
          <w:sz w:val="24"/>
          <w:szCs w:val="24"/>
          <w:rtl/>
        </w:rPr>
      </w:pPr>
    </w:p>
    <w:p w:rsidR="002839CD" w:rsidRDefault="002839CD" w:rsidP="002839CD">
      <w:pPr>
        <w:pStyle w:val="a3"/>
        <w:spacing w:after="0" w:line="240" w:lineRule="auto"/>
        <w:ind w:left="360"/>
        <w:jc w:val="both"/>
        <w:rPr>
          <w:rFonts w:ascii="David" w:hAnsi="David" w:cs="David"/>
          <w:sz w:val="24"/>
          <w:szCs w:val="24"/>
        </w:rPr>
      </w:pPr>
      <w:r>
        <w:rPr>
          <w:rFonts w:ascii="David" w:hAnsi="David" w:cs="David" w:hint="cs"/>
          <w:sz w:val="24"/>
          <w:szCs w:val="24"/>
          <w:rtl/>
        </w:rPr>
        <w:t>ההחלטה מותרת בפרסום בהשמטת פרטים מזהים.</w:t>
      </w:r>
    </w:p>
    <w:p w:rsidR="002839CD" w:rsidRPr="008B1C83" w:rsidRDefault="002839CD" w:rsidP="002839CD">
      <w:pPr>
        <w:pStyle w:val="a3"/>
        <w:spacing w:after="0" w:line="240" w:lineRule="auto"/>
        <w:rPr>
          <w:rFonts w:ascii="David" w:hAnsi="David" w:cs="David"/>
          <w:sz w:val="24"/>
          <w:szCs w:val="24"/>
          <w:rtl/>
        </w:rPr>
      </w:pPr>
      <w:r>
        <w:rPr>
          <w:rFonts w:ascii="David" w:hAnsi="David" w:cs="David" w:hint="cs"/>
          <w:sz w:val="24"/>
          <w:szCs w:val="24"/>
          <w:rtl/>
        </w:rPr>
        <w:t xml:space="preserve"> </w:t>
      </w:r>
    </w:p>
    <w:p w:rsidR="002839CD" w:rsidRPr="00274165" w:rsidRDefault="002839CD" w:rsidP="002839CD">
      <w:pPr>
        <w:spacing w:after="0" w:line="240" w:lineRule="auto"/>
        <w:rPr>
          <w:rFonts w:ascii="David" w:hAnsi="David" w:cs="David"/>
          <w:b/>
          <w:bCs/>
          <w:sz w:val="24"/>
          <w:szCs w:val="24"/>
          <w:rtl/>
        </w:rPr>
      </w:pPr>
      <w:r w:rsidRPr="00274165">
        <w:rPr>
          <w:rFonts w:ascii="David" w:hAnsi="David" w:cs="David"/>
          <w:b/>
          <w:bCs/>
          <w:sz w:val="24"/>
          <w:szCs w:val="24"/>
          <w:rtl/>
        </w:rPr>
        <w:t>נית</w:t>
      </w:r>
      <w:r>
        <w:rPr>
          <w:rFonts w:ascii="David" w:hAnsi="David" w:cs="David" w:hint="cs"/>
          <w:b/>
          <w:bCs/>
          <w:sz w:val="24"/>
          <w:szCs w:val="24"/>
          <w:rtl/>
        </w:rPr>
        <w:t>נה</w:t>
      </w:r>
      <w:r w:rsidRPr="00274165">
        <w:rPr>
          <w:rFonts w:ascii="David" w:hAnsi="David" w:cs="David"/>
          <w:b/>
          <w:bCs/>
          <w:sz w:val="24"/>
          <w:szCs w:val="24"/>
          <w:rtl/>
        </w:rPr>
        <w:t xml:space="preserve"> היום, </w:t>
      </w:r>
      <w:r>
        <w:rPr>
          <w:rFonts w:ascii="David" w:hAnsi="David" w:cs="David" w:hint="cs"/>
          <w:b/>
          <w:bCs/>
          <w:sz w:val="24"/>
          <w:szCs w:val="24"/>
          <w:rtl/>
        </w:rPr>
        <w:t>יט אדר א תשפ"ד,</w:t>
      </w:r>
      <w:r w:rsidRPr="00274165">
        <w:rPr>
          <w:rFonts w:ascii="David" w:hAnsi="David" w:cs="David"/>
          <w:b/>
          <w:bCs/>
          <w:sz w:val="24"/>
          <w:szCs w:val="24"/>
          <w:rtl/>
        </w:rPr>
        <w:t xml:space="preserve"> </w:t>
      </w:r>
      <w:r>
        <w:rPr>
          <w:rFonts w:ascii="David" w:hAnsi="David" w:cs="David" w:hint="cs"/>
          <w:b/>
          <w:bCs/>
          <w:sz w:val="24"/>
          <w:szCs w:val="24"/>
          <w:rtl/>
        </w:rPr>
        <w:t>28 פברואר 2024</w:t>
      </w:r>
      <w:r w:rsidRPr="00274165">
        <w:rPr>
          <w:rFonts w:ascii="David" w:hAnsi="David" w:cs="David"/>
          <w:b/>
          <w:bCs/>
          <w:sz w:val="24"/>
          <w:szCs w:val="24"/>
          <w:rtl/>
        </w:rPr>
        <w:t>, בהעדר הצדדים.</w:t>
      </w:r>
    </w:p>
    <w:p w:rsidR="002839CD" w:rsidRPr="00274165" w:rsidRDefault="002839CD" w:rsidP="002839CD">
      <w:pPr>
        <w:spacing w:after="0" w:line="240" w:lineRule="auto"/>
        <w:rPr>
          <w:rFonts w:ascii="David" w:hAnsi="David" w:cs="David"/>
          <w:b/>
          <w:bCs/>
          <w:sz w:val="24"/>
          <w:szCs w:val="24"/>
          <w:rtl/>
        </w:rPr>
      </w:pPr>
      <w:r w:rsidRPr="00274165">
        <w:rPr>
          <w:rFonts w:ascii="David" w:hAnsi="David" w:cs="David"/>
          <w:b/>
          <w:bCs/>
          <w:sz w:val="24"/>
          <w:szCs w:val="24"/>
          <w:rtl/>
        </w:rPr>
        <w:tab/>
      </w:r>
      <w:r w:rsidRPr="00274165">
        <w:rPr>
          <w:rFonts w:ascii="David" w:hAnsi="David" w:cs="David"/>
          <w:b/>
          <w:bCs/>
          <w:sz w:val="24"/>
          <w:szCs w:val="24"/>
          <w:rtl/>
        </w:rPr>
        <w:tab/>
      </w:r>
      <w:r w:rsidRPr="00274165">
        <w:rPr>
          <w:rFonts w:ascii="David" w:hAnsi="David" w:cs="David"/>
          <w:b/>
          <w:bCs/>
          <w:sz w:val="24"/>
          <w:szCs w:val="24"/>
          <w:rtl/>
        </w:rPr>
        <w:tab/>
      </w:r>
      <w:r w:rsidRPr="00274165">
        <w:rPr>
          <w:rFonts w:ascii="David" w:hAnsi="David" w:cs="David"/>
          <w:b/>
          <w:bCs/>
          <w:sz w:val="24"/>
          <w:szCs w:val="24"/>
          <w:rtl/>
        </w:rPr>
        <w:tab/>
      </w:r>
      <w:r w:rsidRPr="00274165">
        <w:rPr>
          <w:rFonts w:ascii="David" w:hAnsi="David" w:cs="David"/>
          <w:b/>
          <w:bCs/>
          <w:sz w:val="24"/>
          <w:szCs w:val="24"/>
          <w:rtl/>
        </w:rPr>
        <w:tab/>
      </w:r>
      <w:r w:rsidRPr="00274165">
        <w:rPr>
          <w:rFonts w:ascii="David" w:hAnsi="David" w:cs="David"/>
          <w:b/>
          <w:bCs/>
          <w:sz w:val="24"/>
          <w:szCs w:val="24"/>
          <w:rtl/>
        </w:rPr>
        <w:tab/>
      </w:r>
      <w:r w:rsidRPr="00274165">
        <w:rPr>
          <w:rFonts w:ascii="David" w:hAnsi="David" w:cs="David"/>
          <w:b/>
          <w:bCs/>
          <w:sz w:val="24"/>
          <w:szCs w:val="24"/>
          <w:rtl/>
        </w:rPr>
        <w:tab/>
      </w:r>
      <w:r>
        <w:rPr>
          <w:rFonts w:ascii="David" w:hAnsi="David" w:cs="David" w:hint="cs"/>
          <w:b/>
          <w:bCs/>
          <w:sz w:val="24"/>
          <w:szCs w:val="24"/>
          <w:rtl/>
        </w:rPr>
        <w:t xml:space="preserve">                </w:t>
      </w:r>
      <w:r w:rsidRPr="00274165">
        <w:rPr>
          <w:rFonts w:ascii="David" w:hAnsi="David" w:cs="David"/>
          <w:b/>
          <w:bCs/>
          <w:sz w:val="24"/>
          <w:szCs w:val="24"/>
          <w:rtl/>
        </w:rPr>
        <w:t>_________________</w:t>
      </w:r>
      <w:r>
        <w:rPr>
          <w:rFonts w:ascii="David" w:hAnsi="David" w:cs="David" w:hint="cs"/>
          <w:b/>
          <w:bCs/>
          <w:sz w:val="24"/>
          <w:szCs w:val="24"/>
          <w:rtl/>
        </w:rPr>
        <w:t>__</w:t>
      </w:r>
    </w:p>
    <w:p w:rsidR="00E350A7" w:rsidRPr="002839CD" w:rsidRDefault="002839CD" w:rsidP="002839CD">
      <w:pPr>
        <w:spacing w:after="0" w:line="240" w:lineRule="auto"/>
        <w:rPr>
          <w:rFonts w:ascii="David" w:hAnsi="David" w:cs="David"/>
          <w:sz w:val="24"/>
          <w:szCs w:val="24"/>
        </w:rPr>
      </w:pPr>
      <w:r w:rsidRPr="00274165">
        <w:rPr>
          <w:rFonts w:ascii="David" w:hAnsi="David" w:cs="David"/>
          <w:b/>
          <w:bCs/>
          <w:sz w:val="24"/>
          <w:szCs w:val="24"/>
          <w:rtl/>
        </w:rPr>
        <w:tab/>
      </w:r>
      <w:r w:rsidRPr="00274165">
        <w:rPr>
          <w:rFonts w:ascii="David" w:hAnsi="David" w:cs="David"/>
          <w:b/>
          <w:bCs/>
          <w:sz w:val="24"/>
          <w:szCs w:val="24"/>
          <w:rtl/>
        </w:rPr>
        <w:tab/>
      </w:r>
      <w:r w:rsidRPr="00274165">
        <w:rPr>
          <w:rFonts w:ascii="David" w:hAnsi="David" w:cs="David"/>
          <w:b/>
          <w:bCs/>
          <w:sz w:val="24"/>
          <w:szCs w:val="24"/>
          <w:rtl/>
        </w:rPr>
        <w:tab/>
      </w:r>
      <w:r w:rsidRPr="00274165">
        <w:rPr>
          <w:rFonts w:ascii="David" w:hAnsi="David" w:cs="David"/>
          <w:b/>
          <w:bCs/>
          <w:sz w:val="24"/>
          <w:szCs w:val="24"/>
          <w:rtl/>
        </w:rPr>
        <w:tab/>
      </w:r>
      <w:r w:rsidRPr="00274165">
        <w:rPr>
          <w:rFonts w:ascii="David" w:hAnsi="David" w:cs="David"/>
          <w:b/>
          <w:bCs/>
          <w:sz w:val="24"/>
          <w:szCs w:val="24"/>
          <w:rtl/>
        </w:rPr>
        <w:tab/>
      </w:r>
      <w:r w:rsidRPr="00274165">
        <w:rPr>
          <w:rFonts w:ascii="David" w:hAnsi="David" w:cs="David"/>
          <w:b/>
          <w:bCs/>
          <w:sz w:val="24"/>
          <w:szCs w:val="24"/>
          <w:rtl/>
        </w:rPr>
        <w:tab/>
      </w:r>
      <w:r w:rsidRPr="00274165">
        <w:rPr>
          <w:rFonts w:ascii="David" w:hAnsi="David" w:cs="David"/>
          <w:b/>
          <w:bCs/>
          <w:sz w:val="24"/>
          <w:szCs w:val="24"/>
          <w:rtl/>
        </w:rPr>
        <w:tab/>
        <w:t xml:space="preserve">  </w:t>
      </w:r>
      <w:r>
        <w:rPr>
          <w:rFonts w:ascii="David" w:hAnsi="David" w:cs="David" w:hint="cs"/>
          <w:b/>
          <w:bCs/>
          <w:sz w:val="24"/>
          <w:szCs w:val="24"/>
          <w:rtl/>
        </w:rPr>
        <w:t xml:space="preserve">             אורית בן-דור ליבל</w:t>
      </w:r>
      <w:r w:rsidRPr="00274165">
        <w:rPr>
          <w:rFonts w:ascii="David" w:hAnsi="David" w:cs="David"/>
          <w:b/>
          <w:bCs/>
          <w:sz w:val="24"/>
          <w:szCs w:val="24"/>
          <w:rtl/>
        </w:rPr>
        <w:t>, שופט</w:t>
      </w:r>
      <w:r>
        <w:rPr>
          <w:rFonts w:ascii="David" w:hAnsi="David" w:cs="David" w:hint="cs"/>
          <w:b/>
          <w:bCs/>
          <w:sz w:val="24"/>
          <w:szCs w:val="24"/>
          <w:rtl/>
        </w:rPr>
        <w:t>ת</w:t>
      </w:r>
    </w:p>
    <w:sectPr w:rsidR="00E350A7" w:rsidRPr="002839CD" w:rsidSect="00D33896">
      <w:headerReference w:type="even" r:id="rId11"/>
      <w:headerReference w:type="default" r:id="rId12"/>
      <w:footerReference w:type="even" r:id="rId13"/>
      <w:footerReference w:type="default" r:id="rId14"/>
      <w:headerReference w:type="first" r:id="rId15"/>
      <w:footerReference w:type="first" r:id="rId16"/>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452E" w:rsidRDefault="00CF452E">
      <w:pPr>
        <w:spacing w:after="0" w:line="240" w:lineRule="auto"/>
      </w:pPr>
      <w:r>
        <w:separator/>
      </w:r>
    </w:p>
  </w:endnote>
  <w:endnote w:type="continuationSeparator" w:id="0">
    <w:p w:rsidR="00CF452E" w:rsidRDefault="00CF45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riam">
    <w:panose1 w:val="020B050205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1E4F" w:rsidRDefault="00811E4F">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435323031"/>
      <w:docPartObj>
        <w:docPartGallery w:val="Page Numbers (Bottom of Page)"/>
        <w:docPartUnique/>
      </w:docPartObj>
    </w:sdtPr>
    <w:sdtEndPr>
      <w:rPr>
        <w:cs/>
      </w:rPr>
    </w:sdtEndPr>
    <w:sdtContent>
      <w:p w:rsidR="00D33896" w:rsidRDefault="002839CD">
        <w:pPr>
          <w:pStyle w:val="a7"/>
          <w:jc w:val="center"/>
          <w:rPr>
            <w:rtl/>
            <w:cs/>
          </w:rPr>
        </w:pPr>
        <w:r>
          <w:fldChar w:fldCharType="begin"/>
        </w:r>
        <w:r>
          <w:rPr>
            <w:rtl/>
            <w:cs/>
          </w:rPr>
          <w:instrText>PAGE   \* MERGEFORMAT</w:instrText>
        </w:r>
        <w:r>
          <w:fldChar w:fldCharType="separate"/>
        </w:r>
        <w:r w:rsidR="00FD3697" w:rsidRPr="00FD3697">
          <w:rPr>
            <w:noProof/>
            <w:rtl/>
            <w:lang w:val="he-IL"/>
          </w:rPr>
          <w:t>1</w:t>
        </w:r>
        <w:r>
          <w:fldChar w:fldCharType="end"/>
        </w:r>
      </w:p>
    </w:sdtContent>
  </w:sdt>
  <w:p w:rsidR="00D33896" w:rsidRDefault="00CF452E">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1E4F" w:rsidRDefault="00811E4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452E" w:rsidRDefault="00CF452E">
      <w:pPr>
        <w:spacing w:after="0" w:line="240" w:lineRule="auto"/>
      </w:pPr>
      <w:r>
        <w:separator/>
      </w:r>
    </w:p>
  </w:footnote>
  <w:footnote w:type="continuationSeparator" w:id="0">
    <w:p w:rsidR="00CF452E" w:rsidRDefault="00CF45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1E4F" w:rsidRDefault="00811E4F">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A47" w:rsidRDefault="002839CD" w:rsidP="004B3A47">
    <w:pPr>
      <w:jc w:val="center"/>
    </w:pPr>
    <w:r>
      <w:rPr>
        <w:noProof/>
        <w:rtl/>
      </w:rPr>
      <w:drawing>
        <wp:inline distT="0" distB="0" distL="0" distR="0" wp14:anchorId="057632F8" wp14:editId="228E0147">
          <wp:extent cx="437515" cy="453390"/>
          <wp:effectExtent l="0" t="0" r="635" b="381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7515" cy="453390"/>
                  </a:xfrm>
                  <a:prstGeom prst="rect">
                    <a:avLst/>
                  </a:prstGeom>
                  <a:noFill/>
                  <a:ln>
                    <a:noFill/>
                  </a:ln>
                </pic:spPr>
              </pic:pic>
            </a:graphicData>
          </a:graphic>
        </wp:inline>
      </w:drawing>
    </w:r>
    <w:r>
      <w:t xml:space="preserve">    </w:t>
    </w:r>
  </w:p>
  <w:p w:rsidR="004B3A47" w:rsidRPr="00274165" w:rsidRDefault="002839CD" w:rsidP="004B3A47">
    <w:pPr>
      <w:spacing w:after="120" w:line="240" w:lineRule="auto"/>
      <w:jc w:val="center"/>
      <w:rPr>
        <w:rFonts w:ascii="David" w:hAnsi="David" w:cs="David"/>
        <w:sz w:val="18"/>
        <w:szCs w:val="20"/>
        <w:rtl/>
      </w:rPr>
    </w:pPr>
    <w:r w:rsidRPr="00274165">
      <w:rPr>
        <w:rFonts w:ascii="David" w:hAnsi="David" w:cs="David"/>
        <w:b/>
        <w:bCs/>
        <w:sz w:val="26"/>
        <w:szCs w:val="28"/>
        <w:rtl/>
      </w:rPr>
      <w:t>בתי המשפט</w:t>
    </w:r>
    <w:r w:rsidRPr="00274165">
      <w:rPr>
        <w:rFonts w:ascii="David" w:hAnsi="David" w:cs="David"/>
        <w:sz w:val="18"/>
        <w:szCs w:val="20"/>
        <w:rtl/>
      </w:rPr>
      <w:t xml:space="preserve"> </w:t>
    </w:r>
  </w:p>
  <w:tbl>
    <w:tblPr>
      <w:bidiVisual/>
      <w:tblW w:w="0" w:type="auto"/>
      <w:tblLayout w:type="fixed"/>
      <w:tblLook w:val="0000" w:firstRow="0" w:lastRow="0" w:firstColumn="0" w:lastColumn="0" w:noHBand="0" w:noVBand="0"/>
    </w:tblPr>
    <w:tblGrid>
      <w:gridCol w:w="908"/>
      <w:gridCol w:w="4774"/>
      <w:gridCol w:w="1134"/>
      <w:gridCol w:w="1713"/>
    </w:tblGrid>
    <w:tr w:rsidR="004B3A47" w:rsidRPr="00274165" w:rsidTr="00010A91">
      <w:trPr>
        <w:cantSplit/>
        <w:trHeight w:val="195"/>
      </w:trPr>
      <w:tc>
        <w:tcPr>
          <w:tcW w:w="8529" w:type="dxa"/>
          <w:gridSpan w:val="4"/>
        </w:tcPr>
        <w:p w:rsidR="004B3A47" w:rsidRPr="00274165" w:rsidRDefault="002839CD" w:rsidP="004B3A47">
          <w:pPr>
            <w:spacing w:after="120" w:line="240" w:lineRule="auto"/>
            <w:jc w:val="center"/>
            <w:rPr>
              <w:rFonts w:ascii="David" w:hAnsi="David" w:cs="David"/>
              <w:b/>
              <w:bCs/>
              <w:spacing w:val="110"/>
              <w:sz w:val="28"/>
              <w:szCs w:val="28"/>
              <w:rtl/>
            </w:rPr>
          </w:pPr>
          <w:bookmarkStart w:id="2" w:name="בדלתיים_סגורות" w:colFirst="0" w:colLast="0"/>
          <w:r w:rsidRPr="00274165">
            <w:rPr>
              <w:rFonts w:ascii="David" w:hAnsi="David" w:cs="David"/>
              <w:b/>
              <w:bCs/>
              <w:spacing w:val="110"/>
              <w:sz w:val="28"/>
              <w:szCs w:val="28"/>
              <w:rtl/>
            </w:rPr>
            <w:t>בדלתיים סגורות</w:t>
          </w:r>
        </w:p>
        <w:p w:rsidR="004B3A47" w:rsidRPr="00274165" w:rsidRDefault="00CF452E" w:rsidP="004B3A47">
          <w:pPr>
            <w:spacing w:after="120" w:line="240" w:lineRule="auto"/>
            <w:jc w:val="center"/>
            <w:rPr>
              <w:rFonts w:ascii="David" w:hAnsi="David" w:cs="David"/>
              <w:b/>
              <w:bCs/>
              <w:spacing w:val="110"/>
              <w:sz w:val="28"/>
              <w:szCs w:val="28"/>
            </w:rPr>
          </w:pPr>
        </w:p>
      </w:tc>
    </w:tr>
    <w:tr w:rsidR="004B3A47" w:rsidRPr="00274165" w:rsidTr="00010A91">
      <w:trPr>
        <w:cantSplit/>
        <w:trHeight w:val="195"/>
      </w:trPr>
      <w:tc>
        <w:tcPr>
          <w:tcW w:w="5682" w:type="dxa"/>
          <w:gridSpan w:val="2"/>
        </w:tcPr>
        <w:p w:rsidR="004B3A47" w:rsidRPr="00274165" w:rsidRDefault="002839CD" w:rsidP="004B3A47">
          <w:pPr>
            <w:spacing w:after="120" w:line="240" w:lineRule="auto"/>
            <w:rPr>
              <w:rFonts w:ascii="David" w:hAnsi="David" w:cs="David"/>
              <w:b/>
              <w:bCs/>
              <w:sz w:val="24"/>
              <w:szCs w:val="24"/>
            </w:rPr>
          </w:pPr>
          <w:bookmarkStart w:id="3" w:name="בית_משפט" w:colFirst="0" w:colLast="0"/>
          <w:bookmarkStart w:id="4" w:name="זיהוי_תיק" w:colFirst="1" w:colLast="1"/>
          <w:bookmarkEnd w:id="2"/>
          <w:r w:rsidRPr="00274165">
            <w:rPr>
              <w:rFonts w:ascii="David" w:hAnsi="David" w:cs="David"/>
              <w:b/>
              <w:bCs/>
              <w:sz w:val="24"/>
              <w:szCs w:val="24"/>
              <w:rtl/>
            </w:rPr>
            <w:t>בית משפט לענייני משפחה ירושלים</w:t>
          </w:r>
        </w:p>
      </w:tc>
      <w:tc>
        <w:tcPr>
          <w:tcW w:w="2847" w:type="dxa"/>
          <w:gridSpan w:val="2"/>
        </w:tcPr>
        <w:p w:rsidR="004B3A47" w:rsidRPr="00274165" w:rsidRDefault="002839CD" w:rsidP="00A41E45">
          <w:pPr>
            <w:spacing w:after="120" w:line="240" w:lineRule="auto"/>
            <w:jc w:val="center"/>
            <w:rPr>
              <w:rFonts w:ascii="David" w:hAnsi="David" w:cs="David"/>
              <w:b/>
              <w:bCs/>
              <w:sz w:val="24"/>
              <w:szCs w:val="24"/>
              <w:rtl/>
            </w:rPr>
          </w:pPr>
          <w:r w:rsidRPr="00274165">
            <w:rPr>
              <w:rFonts w:ascii="David" w:hAnsi="David" w:cs="David"/>
              <w:b/>
              <w:bCs/>
              <w:sz w:val="24"/>
              <w:szCs w:val="24"/>
              <w:rtl/>
            </w:rPr>
            <w:t xml:space="preserve">                         אמ"ץ </w:t>
          </w:r>
          <w:r>
            <w:rPr>
              <w:rFonts w:ascii="David" w:hAnsi="David" w:cs="David" w:hint="cs"/>
              <w:b/>
              <w:bCs/>
              <w:sz w:val="24"/>
              <w:szCs w:val="24"/>
              <w:rtl/>
            </w:rPr>
            <w:t>4/24</w:t>
          </w:r>
        </w:p>
      </w:tc>
    </w:tr>
    <w:tr w:rsidR="004B3A47" w:rsidRPr="00274165" w:rsidTr="00010A91">
      <w:trPr>
        <w:cantSplit/>
        <w:trHeight w:val="286"/>
      </w:trPr>
      <w:tc>
        <w:tcPr>
          <w:tcW w:w="908" w:type="dxa"/>
        </w:tcPr>
        <w:p w:rsidR="004B3A47" w:rsidRPr="00274165" w:rsidRDefault="002839CD" w:rsidP="004B3A47">
          <w:pPr>
            <w:spacing w:after="120" w:line="240" w:lineRule="auto"/>
            <w:rPr>
              <w:rFonts w:ascii="David" w:hAnsi="David" w:cs="David"/>
              <w:b/>
              <w:bCs/>
              <w:sz w:val="24"/>
              <w:szCs w:val="24"/>
            </w:rPr>
          </w:pPr>
          <w:bookmarkStart w:id="5" w:name="תאריך" w:colFirst="3" w:colLast="3"/>
          <w:bookmarkStart w:id="6" w:name="שם_שופט" w:colFirst="1" w:colLast="1"/>
          <w:bookmarkEnd w:id="3"/>
          <w:bookmarkEnd w:id="4"/>
          <w:r w:rsidRPr="00274165">
            <w:rPr>
              <w:rFonts w:ascii="David" w:hAnsi="David" w:cs="David"/>
              <w:b/>
              <w:bCs/>
              <w:sz w:val="24"/>
              <w:szCs w:val="24"/>
              <w:rtl/>
            </w:rPr>
            <w:t>בפני:</w:t>
          </w:r>
        </w:p>
      </w:tc>
      <w:tc>
        <w:tcPr>
          <w:tcW w:w="4774" w:type="dxa"/>
        </w:tcPr>
        <w:p w:rsidR="004B3A47" w:rsidRPr="00274165" w:rsidRDefault="002839CD" w:rsidP="004B3A47">
          <w:pPr>
            <w:spacing w:after="120" w:line="240" w:lineRule="auto"/>
            <w:rPr>
              <w:rFonts w:ascii="David" w:hAnsi="David" w:cs="David"/>
              <w:b/>
              <w:bCs/>
              <w:sz w:val="24"/>
              <w:szCs w:val="24"/>
            </w:rPr>
          </w:pPr>
          <w:r w:rsidRPr="00274165">
            <w:rPr>
              <w:rFonts w:ascii="David" w:hAnsi="David" w:cs="David"/>
              <w:b/>
              <w:bCs/>
              <w:sz w:val="24"/>
              <w:szCs w:val="24"/>
              <w:rtl/>
            </w:rPr>
            <w:t>כב' השופטת אורית בן-דור ליבל</w:t>
          </w:r>
        </w:p>
      </w:tc>
      <w:tc>
        <w:tcPr>
          <w:tcW w:w="1134" w:type="dxa"/>
          <w:tcMar>
            <w:left w:w="28" w:type="dxa"/>
            <w:right w:w="28" w:type="dxa"/>
          </w:tcMar>
        </w:tcPr>
        <w:p w:rsidR="004B3A47" w:rsidRPr="00274165" w:rsidRDefault="002839CD" w:rsidP="004B3A47">
          <w:pPr>
            <w:spacing w:after="120" w:line="240" w:lineRule="auto"/>
            <w:jc w:val="right"/>
            <w:rPr>
              <w:rFonts w:ascii="David" w:hAnsi="David" w:cs="David"/>
              <w:b/>
              <w:bCs/>
              <w:sz w:val="24"/>
              <w:szCs w:val="24"/>
            </w:rPr>
          </w:pPr>
          <w:r w:rsidRPr="00274165">
            <w:rPr>
              <w:rFonts w:ascii="David" w:hAnsi="David" w:cs="David"/>
              <w:b/>
              <w:bCs/>
              <w:sz w:val="24"/>
              <w:szCs w:val="24"/>
              <w:rtl/>
            </w:rPr>
            <w:t xml:space="preserve">    </w:t>
          </w:r>
        </w:p>
      </w:tc>
      <w:tc>
        <w:tcPr>
          <w:tcW w:w="1713" w:type="dxa"/>
        </w:tcPr>
        <w:p w:rsidR="004B3A47" w:rsidRPr="00274165" w:rsidRDefault="002839CD" w:rsidP="001F4417">
          <w:pPr>
            <w:spacing w:after="120" w:line="240" w:lineRule="auto"/>
            <w:jc w:val="right"/>
            <w:rPr>
              <w:rFonts w:ascii="David" w:hAnsi="David" w:cs="David"/>
              <w:b/>
              <w:bCs/>
              <w:sz w:val="24"/>
              <w:szCs w:val="24"/>
            </w:rPr>
          </w:pPr>
          <w:r w:rsidRPr="00274165">
            <w:rPr>
              <w:rFonts w:ascii="David" w:hAnsi="David" w:cs="David"/>
              <w:b/>
              <w:bCs/>
              <w:sz w:val="24"/>
              <w:szCs w:val="24"/>
              <w:rtl/>
            </w:rPr>
            <w:t xml:space="preserve">תאריך: </w:t>
          </w:r>
          <w:r>
            <w:rPr>
              <w:rFonts w:ascii="David" w:hAnsi="David" w:cs="David" w:hint="cs"/>
              <w:b/>
              <w:bCs/>
              <w:sz w:val="24"/>
              <w:szCs w:val="24"/>
              <w:rtl/>
            </w:rPr>
            <w:t>28.2.24</w:t>
          </w:r>
        </w:p>
      </w:tc>
    </w:tr>
    <w:bookmarkEnd w:id="5"/>
    <w:bookmarkEnd w:id="6"/>
  </w:tbl>
  <w:p w:rsidR="004B3A47" w:rsidRDefault="00CF452E" w:rsidP="004B3A47">
    <w:pPr>
      <w:pStyle w:val="a5"/>
      <w:rPr>
        <w:rtl/>
        <w:cs/>
      </w:rPr>
    </w:pPr>
  </w:p>
  <w:p w:rsidR="004B3A47" w:rsidRDefault="00CF452E">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1E4F" w:rsidRDefault="00811E4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3D1F11"/>
    <w:multiLevelType w:val="hybridMultilevel"/>
    <w:tmpl w:val="9A3A2F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29A7AB7"/>
    <w:multiLevelType w:val="hybridMultilevel"/>
    <w:tmpl w:val="D36EE26E"/>
    <w:lvl w:ilvl="0" w:tplc="DB0ACE0C">
      <w:start w:val="1"/>
      <w:numFmt w:val="decimal"/>
      <w:lvlText w:val="%1."/>
      <w:lvlJc w:val="left"/>
      <w:pPr>
        <w:ind w:left="1080" w:hanging="360"/>
      </w:pPr>
      <w:rPr>
        <w:rFonts w:ascii="David" w:hAnsi="David" w:cs="David" w:hint="default"/>
        <w:b w:val="0"/>
        <w:bCs w:val="0"/>
        <w:sz w:val="24"/>
        <w:szCs w:val="24"/>
        <w:lang w:bidi="he-IL"/>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23C2"/>
    <w:rsid w:val="002839CD"/>
    <w:rsid w:val="00811E4F"/>
    <w:rsid w:val="00C464A6"/>
    <w:rsid w:val="00C87D41"/>
    <w:rsid w:val="00CF452E"/>
    <w:rsid w:val="00D323C2"/>
    <w:rsid w:val="00E350A7"/>
    <w:rsid w:val="00E57625"/>
    <w:rsid w:val="00EB7E6F"/>
    <w:rsid w:val="00FD369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EB34EEA-94B0-48F7-BFA7-6C8519C37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avid" w:eastAsiaTheme="minorHAnsi" w:hAnsi="David" w:cs="David"/>
        <w:sz w:val="24"/>
        <w:szCs w:val="24"/>
        <w:lang w:val="en-US" w:eastAsia="en-US" w:bidi="he-IL"/>
      </w:rPr>
    </w:rPrDefault>
    <w:pPrDefault>
      <w:pPr>
        <w:bidi/>
        <w:spacing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39CD"/>
    <w:pPr>
      <w:spacing w:after="200" w:line="276" w:lineRule="auto"/>
      <w:jc w:val="left"/>
    </w:pPr>
    <w:rPr>
      <w:rFonts w:asciiTheme="minorHAnsi" w:hAnsiTheme="minorHAnsi" w:cstheme="min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839CD"/>
    <w:pPr>
      <w:ind w:left="720"/>
      <w:contextualSpacing/>
    </w:pPr>
  </w:style>
  <w:style w:type="paragraph" w:customStyle="1" w:styleId="a4">
    <w:name w:val="שמות"/>
    <w:basedOn w:val="a"/>
    <w:rsid w:val="002839CD"/>
    <w:pPr>
      <w:suppressLineNumbers/>
      <w:spacing w:after="0" w:line="360" w:lineRule="auto"/>
      <w:jc w:val="both"/>
    </w:pPr>
    <w:rPr>
      <w:rFonts w:ascii="Times New Roman" w:eastAsia="Times New Roman" w:hAnsi="Times New Roman" w:cs="David"/>
      <w:b/>
      <w:bCs/>
      <w:snapToGrid w:val="0"/>
      <w:szCs w:val="24"/>
      <w:lang w:eastAsia="he-IL"/>
    </w:rPr>
  </w:style>
  <w:style w:type="paragraph" w:styleId="a5">
    <w:name w:val="header"/>
    <w:basedOn w:val="a"/>
    <w:link w:val="a6"/>
    <w:uiPriority w:val="99"/>
    <w:unhideWhenUsed/>
    <w:rsid w:val="002839CD"/>
    <w:pPr>
      <w:tabs>
        <w:tab w:val="center" w:pos="4153"/>
        <w:tab w:val="right" w:pos="8306"/>
      </w:tabs>
      <w:spacing w:after="0" w:line="240" w:lineRule="auto"/>
    </w:pPr>
  </w:style>
  <w:style w:type="character" w:customStyle="1" w:styleId="a6">
    <w:name w:val="כותרת עליונה תו"/>
    <w:basedOn w:val="a0"/>
    <w:link w:val="a5"/>
    <w:uiPriority w:val="99"/>
    <w:rsid w:val="002839CD"/>
    <w:rPr>
      <w:rFonts w:asciiTheme="minorHAnsi" w:hAnsiTheme="minorHAnsi" w:cstheme="minorBidi"/>
      <w:sz w:val="22"/>
      <w:szCs w:val="22"/>
    </w:rPr>
  </w:style>
  <w:style w:type="paragraph" w:styleId="a7">
    <w:name w:val="footer"/>
    <w:basedOn w:val="a"/>
    <w:link w:val="a8"/>
    <w:uiPriority w:val="99"/>
    <w:unhideWhenUsed/>
    <w:rsid w:val="002839CD"/>
    <w:pPr>
      <w:tabs>
        <w:tab w:val="center" w:pos="4153"/>
        <w:tab w:val="right" w:pos="8306"/>
      </w:tabs>
      <w:spacing w:after="0" w:line="240" w:lineRule="auto"/>
    </w:pPr>
  </w:style>
  <w:style w:type="character" w:customStyle="1" w:styleId="a8">
    <w:name w:val="כותרת תחתונה תו"/>
    <w:basedOn w:val="a0"/>
    <w:link w:val="a7"/>
    <w:uiPriority w:val="99"/>
    <w:rsid w:val="002839CD"/>
    <w:rPr>
      <w:rFonts w:asciiTheme="minorHAnsi" w:hAnsiTheme="minorHAnsi" w:cstheme="minorBidi"/>
      <w:sz w:val="22"/>
      <w:szCs w:val="22"/>
    </w:rPr>
  </w:style>
  <w:style w:type="character" w:customStyle="1" w:styleId="default">
    <w:name w:val="default"/>
    <w:basedOn w:val="a0"/>
    <w:rsid w:val="002839CD"/>
    <w:rPr>
      <w:rFonts w:ascii="Times New Roman" w:hAnsi="Times New Roman" w:cs="Times New Roman"/>
      <w:sz w:val="26"/>
      <w:szCs w:val="26"/>
    </w:rPr>
  </w:style>
  <w:style w:type="character" w:styleId="Hyperlink">
    <w:name w:val="Hyperlink"/>
    <w:basedOn w:val="a0"/>
    <w:uiPriority w:val="99"/>
    <w:rsid w:val="002839CD"/>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evo.co.il/links/psika/?link=&#1506;&#1488;%203554/91"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nevo.co.il/law/98566/13.a.7"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www.nevo.co.il/law/98566/12.c" TargetMode="External"/><Relationship Id="rId4" Type="http://schemas.openxmlformats.org/officeDocument/2006/relationships/webSettings" Target="webSettings.xml"/><Relationship Id="rId9" Type="http://schemas.openxmlformats.org/officeDocument/2006/relationships/hyperlink" Target="http://www.nevo.co.il/links/psika/?link=&#1506;&#1488;%203554/91"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4964</Words>
  <Characters>24825</Characters>
  <Application>Microsoft Office Word</Application>
  <DocSecurity>0</DocSecurity>
  <Lines>206</Lines>
  <Paragraphs>59</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29730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אורית בן דור ליבל</dc:creator>
  <cp:keywords/>
  <dc:description/>
  <cp:lastModifiedBy>אסתר טטרואשילי</cp:lastModifiedBy>
  <cp:revision>2</cp:revision>
  <dcterms:created xsi:type="dcterms:W3CDTF">2024-06-06T11:48:00Z</dcterms:created>
  <dcterms:modified xsi:type="dcterms:W3CDTF">2024-06-06T11:48:00Z</dcterms:modified>
</cp:coreProperties>
</file>